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372183" w:rsidRDefault="0037218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E3FE9">
        <w:rPr>
          <w:rFonts w:ascii="Times New Roman" w:hAnsi="Times New Roman" w:cs="Times New Roman"/>
          <w:sz w:val="28"/>
          <w:szCs w:val="28"/>
        </w:rPr>
        <w:t>10</w:t>
      </w:r>
      <w:r w:rsidR="00816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3FE9">
        <w:rPr>
          <w:rFonts w:ascii="Times New Roman" w:hAnsi="Times New Roman" w:cs="Times New Roman"/>
          <w:sz w:val="28"/>
          <w:szCs w:val="28"/>
        </w:rPr>
        <w:t>1</w:t>
      </w:r>
      <w:r w:rsidR="00101458">
        <w:rPr>
          <w:rFonts w:ascii="Times New Roman" w:hAnsi="Times New Roman" w:cs="Times New Roman"/>
          <w:sz w:val="28"/>
          <w:szCs w:val="28"/>
        </w:rPr>
        <w:t>3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8E3F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101458" w:rsidRPr="00101458">
        <w:rPr>
          <w:rFonts w:eastAsiaTheme="minorEastAsia"/>
          <w:b w:val="0"/>
          <w:bCs w:val="0"/>
          <w:kern w:val="0"/>
          <w:sz w:val="28"/>
          <w:szCs w:val="26"/>
        </w:rPr>
        <w:t>71.20.1</w:t>
      </w:r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 xml:space="preserve">– </w:t>
      </w:r>
      <w:r w:rsidR="00101458" w:rsidRPr="00101458">
        <w:rPr>
          <w:rFonts w:eastAsiaTheme="minorEastAsia"/>
          <w:b w:val="0"/>
          <w:bCs w:val="0"/>
          <w:kern w:val="0"/>
          <w:sz w:val="28"/>
          <w:szCs w:val="26"/>
        </w:rPr>
        <w:t>Услуги в области технических испытаний, исследований и анализа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458" w:rsidRDefault="00101458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68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01458" w:rsidRPr="00101458" w:rsidRDefault="0040172C" w:rsidP="0010145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01458" w:rsidRPr="00101458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C82430" w:rsidRPr="004D1F27" w:rsidRDefault="00101458" w:rsidP="0010145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58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74045">
        <w:rPr>
          <w:rFonts w:ascii="Times New Roman" w:hAnsi="Times New Roman" w:cs="Times New Roman"/>
          <w:sz w:val="28"/>
          <w:szCs w:val="28"/>
        </w:rPr>
        <w:t>1</w:t>
      </w:r>
      <w:r w:rsidR="001014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101458" w:rsidRDefault="00101458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="001014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014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72936" w:rsidRDefault="0047293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A295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101458" w:rsidRDefault="00101458" w:rsidP="00101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458" w:rsidRPr="00D454D3" w:rsidRDefault="00101458" w:rsidP="0010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843"/>
        <w:gridCol w:w="1275"/>
        <w:gridCol w:w="709"/>
      </w:tblGrid>
      <w:tr w:rsidR="00101458" w:rsidRPr="00CA323D" w:rsidTr="00101458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proofErr w:type="gramEnd"/>
          </w:p>
        </w:tc>
      </w:tr>
      <w:tr w:rsidR="00101458" w:rsidRPr="00CA323D" w:rsidTr="00101458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458" w:rsidRPr="00CA323D" w:rsidRDefault="00101458" w:rsidP="001014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458" w:rsidRPr="00CA323D" w:rsidRDefault="00101458" w:rsidP="001014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458" w:rsidRPr="00CA62FD" w:rsidRDefault="00101458" w:rsidP="001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458" w:rsidRPr="00CA323D" w:rsidRDefault="00101458" w:rsidP="001014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458" w:rsidRPr="00CA323D" w:rsidRDefault="00101458" w:rsidP="001014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01458" w:rsidRPr="00CA62FD" w:rsidTr="00101458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458" w:rsidRPr="00805549" w:rsidRDefault="00101458" w:rsidP="00101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549">
              <w:rPr>
                <w:rFonts w:ascii="Times New Roman" w:hAnsi="Times New Roman" w:cs="Times New Roman"/>
              </w:rPr>
              <w:t>Услуги в области испытаний, исследований и анализа целостных механических и электрических систем</w:t>
            </w:r>
          </w:p>
          <w:p w:rsidR="00101458" w:rsidRPr="00D30B8C" w:rsidRDefault="00101458" w:rsidP="00101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458" w:rsidRPr="00D30B8C" w:rsidRDefault="00101458" w:rsidP="00101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613">
              <w:rPr>
                <w:rFonts w:ascii="Times New Roman" w:hAnsi="Times New Roman" w:cs="Times New Roman"/>
              </w:rPr>
              <w:t>71.20.13.000</w:t>
            </w:r>
            <w:r w:rsidRPr="00D30B8C">
              <w:rPr>
                <w:rFonts w:ascii="Times New Roman" w:hAnsi="Times New Roman" w:cs="Times New Roman"/>
              </w:rPr>
              <w:t xml:space="preserve"> </w:t>
            </w:r>
          </w:p>
          <w:p w:rsidR="00101458" w:rsidRPr="002C0EBA" w:rsidRDefault="00101458" w:rsidP="0010145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101458" w:rsidRPr="006156FB" w:rsidTr="00101458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Оказание услуг по измерению сопротивления </w:t>
                  </w:r>
                </w:p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растекания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основных </w:t>
                  </w:r>
                  <w:proofErr w:type="spellStart"/>
                  <w:r w:rsidRPr="00900A5B">
                    <w:rPr>
                      <w:rFonts w:ascii="Times New Roman" w:hAnsi="Times New Roman" w:cs="Times New Roman"/>
                    </w:rPr>
                    <w:t>заземлителях</w:t>
                  </w:r>
                  <w:proofErr w:type="spellEnd"/>
                  <w:r w:rsidRPr="00900A5B">
                    <w:rPr>
                      <w:rFonts w:ascii="Times New Roman" w:hAnsi="Times New Roman" w:cs="Times New Roman"/>
                    </w:rPr>
                    <w:t xml:space="preserve"> и заземлений</w:t>
                  </w:r>
                </w:p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магистралей и оборудования в здании </w:t>
                  </w:r>
                </w:p>
                <w:p w:rsidR="00F01C0A" w:rsidRPr="0020083B" w:rsidRDefault="00F01C0A" w:rsidP="00F01C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Администрации городского округа </w:t>
                  </w:r>
                </w:p>
                <w:p w:rsidR="00F01C0A" w:rsidRPr="0020083B" w:rsidRDefault="00F01C0A" w:rsidP="00F01C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>муниципальное образование городской округ</w:t>
                  </w:r>
                </w:p>
                <w:p w:rsidR="004204F0" w:rsidRDefault="00F01C0A" w:rsidP="00F01C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город Красный Луч </w:t>
                  </w:r>
                  <w:r w:rsidR="004204F0" w:rsidRPr="00900A5B">
                    <w:rPr>
                      <w:rFonts w:ascii="Times New Roman" w:hAnsi="Times New Roman" w:cs="Times New Roman"/>
                    </w:rPr>
                    <w:t xml:space="preserve">Луганской </w:t>
                  </w:r>
                </w:p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Народной Республики «Здание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учебно-курсового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комбината с учебным полигоном»,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расположенном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204F0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>по адресу: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00A5B">
                    <w:rPr>
                      <w:rFonts w:ascii="Times New Roman" w:hAnsi="Times New Roman" w:cs="Times New Roman"/>
                    </w:rPr>
                    <w:t xml:space="preserve">г. Красный Луч, ул.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Студенческая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, 4  </w:t>
                  </w:r>
                </w:p>
                <w:p w:rsidR="00101458" w:rsidRPr="00CA62FD" w:rsidRDefault="004204F0" w:rsidP="004204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(общая площадь помещений – </w:t>
                  </w:r>
                  <w:r>
                    <w:rPr>
                      <w:rFonts w:ascii="Times New Roman" w:hAnsi="Times New Roman" w:cs="Times New Roman"/>
                    </w:rPr>
                    <w:t>3852</w:t>
                  </w:r>
                  <w:r w:rsidRPr="00900A5B">
                    <w:rPr>
                      <w:rFonts w:ascii="Times New Roman" w:hAnsi="Times New Roman" w:cs="Times New Roman"/>
                    </w:rPr>
                    <w:t xml:space="preserve"> кв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.м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4204F0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4204F0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4204F0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Выполнение услуг по измерению сопротивления изоляции проводов и кабелей производится с обязательным составлением технического отчета, </w:t>
            </w:r>
            <w:proofErr w:type="gramStart"/>
            <w:r w:rsidRPr="003A46B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3A46BD">
              <w:rPr>
                <w:rFonts w:ascii="Times New Roman" w:hAnsi="Times New Roman" w:cs="Times New Roman"/>
              </w:rPr>
              <w:t xml:space="preserve"> проведенных измерений в составе: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визуальный осмотр;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наличие цепи между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заземлителями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заземляемыми элементами электрооборудования;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замеры сопротивления изоляции проводов и кабелей;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сопротивления цепи петля «Фаза-ноль»;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автоматических выключателей;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сопротивления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заземлителей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заземляющих устройств, измерение удельного сопротивления грунта;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системы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3A46BD">
              <w:rPr>
                <w:rFonts w:ascii="Times New Roman" w:hAnsi="Times New Roman" w:cs="Times New Roman"/>
              </w:rPr>
              <w:t>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и испытание УЗО;</w:t>
            </w:r>
          </w:p>
          <w:p w:rsidR="004204F0" w:rsidRPr="003A46B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испытание кабелей линий от ТП, РУ-0,4кВ;</w:t>
            </w:r>
          </w:p>
          <w:p w:rsidR="00101458" w:rsidRPr="00CA62FD" w:rsidRDefault="004204F0" w:rsidP="0042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выдача технического отчета с протоколами испытаний и измерений о проведенном обследовании с описанием выявленных дефектов и рекомендациями по их устранению.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458" w:rsidRPr="00CA62FD" w:rsidRDefault="00101458" w:rsidP="00101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  <w:r w:rsidRPr="00BA1725">
              <w:rPr>
                <w:rFonts w:ascii="Times New Roman" w:hAnsi="Times New Roman"/>
                <w:lang w:eastAsia="en-US"/>
              </w:rPr>
              <w:t>словн</w:t>
            </w:r>
            <w:r>
              <w:rPr>
                <w:rFonts w:ascii="Times New Roman" w:hAnsi="Times New Roman"/>
                <w:lang w:eastAsia="en-US"/>
              </w:rPr>
              <w:t>ая</w:t>
            </w:r>
            <w:r w:rsidRPr="00BA1725">
              <w:rPr>
                <w:rFonts w:ascii="Times New Roman" w:hAnsi="Times New Roman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458" w:rsidRPr="00CA62FD" w:rsidRDefault="00101458" w:rsidP="001014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A2958" w:rsidRDefault="00AA2958" w:rsidP="00101458">
      <w:pPr>
        <w:widowControl w:val="0"/>
        <w:suppressAutoHyphens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</w:p>
    <w:p w:rsidR="00101458" w:rsidRPr="002D62E7" w:rsidRDefault="00101458" w:rsidP="00101458">
      <w:pPr>
        <w:widowControl w:val="0"/>
        <w:suppressAutoHyphens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2D62E7">
        <w:rPr>
          <w:rFonts w:ascii="Times New Roman" w:hAnsi="Times New Roman" w:cs="Times New Roman"/>
          <w:bCs/>
          <w:sz w:val="28"/>
          <w:szCs w:val="28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2D62E7">
        <w:rPr>
          <w:rFonts w:ascii="Times New Roman" w:hAnsi="Times New Roman" w:cs="Times New Roman"/>
          <w:bCs/>
          <w:sz w:val="28"/>
          <w:szCs w:val="28"/>
        </w:rPr>
        <w:t>в описании объекта закупки.</w:t>
      </w:r>
    </w:p>
    <w:bookmarkEnd w:id="0"/>
    <w:p w:rsidR="00AA2958" w:rsidRDefault="00101458" w:rsidP="00101458">
      <w:pPr>
        <w:widowControl w:val="0"/>
        <w:suppressAutoHyphens/>
        <w:autoSpaceDE w:val="0"/>
        <w:autoSpaceDN w:val="0"/>
        <w:adjustRightInd w:val="0"/>
        <w:spacing w:after="0"/>
        <w:ind w:left="142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</w:p>
    <w:p w:rsidR="00AA2958" w:rsidRDefault="00AA2958" w:rsidP="00101458">
      <w:pPr>
        <w:widowControl w:val="0"/>
        <w:suppressAutoHyphens/>
        <w:autoSpaceDE w:val="0"/>
        <w:autoSpaceDN w:val="0"/>
        <w:adjustRightInd w:val="0"/>
        <w:spacing w:after="0"/>
        <w:ind w:left="142"/>
        <w:rPr>
          <w:b/>
          <w:bCs/>
          <w:color w:val="000000"/>
        </w:rPr>
      </w:pPr>
    </w:p>
    <w:p w:rsidR="00AA2958" w:rsidRDefault="00AA2958" w:rsidP="00101458">
      <w:pPr>
        <w:widowControl w:val="0"/>
        <w:suppressAutoHyphens/>
        <w:autoSpaceDE w:val="0"/>
        <w:autoSpaceDN w:val="0"/>
        <w:adjustRightInd w:val="0"/>
        <w:spacing w:after="0"/>
        <w:ind w:left="142"/>
        <w:rPr>
          <w:b/>
          <w:bCs/>
          <w:color w:val="000000"/>
        </w:rPr>
      </w:pPr>
    </w:p>
    <w:p w:rsidR="00101458" w:rsidRDefault="00101458" w:rsidP="00AA2958">
      <w:pPr>
        <w:widowControl w:val="0"/>
        <w:suppressAutoHyphens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101458" w:rsidRPr="00542A6B" w:rsidRDefault="00101458" w:rsidP="00AA295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4204F0" w:rsidRPr="00F01C0A" w:rsidRDefault="00101458" w:rsidP="00AA2958">
      <w:pPr>
        <w:pStyle w:val="ab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01C0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01C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204F0" w:rsidRPr="00F01C0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01C0A" w:rsidRPr="00F01C0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</w:t>
      </w:r>
      <w:r w:rsidR="004204F0" w:rsidRPr="00F01C0A">
        <w:rPr>
          <w:rFonts w:ascii="Times New Roman" w:hAnsi="Times New Roman" w:cs="Times New Roman"/>
          <w:sz w:val="28"/>
          <w:szCs w:val="28"/>
        </w:rPr>
        <w:t>Луганской Народной Республики «Здание учебно-курсового комбината с учебным полигоном», расположенное по адресу: г. Красный Луч, ул. Студенческая, 4.</w:t>
      </w:r>
      <w:proofErr w:type="gramEnd"/>
    </w:p>
    <w:p w:rsidR="00101458" w:rsidRPr="00F01C0A" w:rsidRDefault="00101458" w:rsidP="00AA2958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4F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4204F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204F0">
        <w:rPr>
          <w:rFonts w:ascii="Times New Roman" w:hAnsi="Times New Roman" w:cs="Times New Roman"/>
          <w:sz w:val="28"/>
          <w:szCs w:val="28"/>
        </w:rPr>
        <w:t xml:space="preserve">: </w:t>
      </w:r>
      <w:r w:rsidRPr="00F01C0A">
        <w:rPr>
          <w:rFonts w:ascii="Times New Roman" w:hAnsi="Times New Roman" w:cs="Times New Roman"/>
          <w:sz w:val="28"/>
          <w:szCs w:val="28"/>
        </w:rPr>
        <w:t>в течение 30 дней с момента заключения контракта.</w:t>
      </w:r>
    </w:p>
    <w:p w:rsidR="00101458" w:rsidRPr="00F01C0A" w:rsidRDefault="00101458" w:rsidP="00AA2958">
      <w:pPr>
        <w:pStyle w:val="ab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F3">
        <w:rPr>
          <w:rFonts w:ascii="Times New Roman" w:hAnsi="Times New Roman" w:cs="Times New Roman"/>
          <w:sz w:val="28"/>
          <w:szCs w:val="28"/>
        </w:rPr>
        <w:t>Условия поставки товара, выполнения работ, оказания услуг:</w:t>
      </w:r>
      <w:r w:rsidRPr="004B61F3">
        <w:rPr>
          <w:sz w:val="28"/>
          <w:szCs w:val="28"/>
        </w:rPr>
        <w:t xml:space="preserve"> </w:t>
      </w:r>
      <w:r w:rsidRPr="00F01C0A">
        <w:rPr>
          <w:rFonts w:ascii="Times New Roman" w:hAnsi="Times New Roman" w:cs="Times New Roman"/>
          <w:sz w:val="28"/>
          <w:szCs w:val="28"/>
        </w:rPr>
        <w:t>Исполнитель обязан ознакомиться с объектами, на которых будут оказываться услуги  и с электроустановками, расположенными на объектах.</w:t>
      </w:r>
    </w:p>
    <w:p w:rsidR="00101458" w:rsidRPr="00F01C0A" w:rsidRDefault="00101458" w:rsidP="00AA29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Исполнитель обязан соблюдать требования нормативных правовых актов, как в отношении услуг, так и в отношении материалов, комплектующих и оборудования, используемых при оказании услуг.</w:t>
      </w:r>
    </w:p>
    <w:p w:rsidR="00101458" w:rsidRPr="00F01C0A" w:rsidRDefault="00101458" w:rsidP="00AA29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При оказании услуг должна обеспечиваться сохранность и работоспособность электрических, противопожарных и инженерных сетей на участке оказания услуг.</w:t>
      </w:r>
    </w:p>
    <w:p w:rsidR="00101458" w:rsidRPr="00F01C0A" w:rsidRDefault="00101458" w:rsidP="00AA29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Исполнитель оказывает услуги своим инструментом и обеспечивает охрану труда при оказании услуг  своими силами и средствами.</w:t>
      </w:r>
    </w:p>
    <w:p w:rsidR="00101458" w:rsidRPr="00F01C0A" w:rsidRDefault="00101458" w:rsidP="00AA29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Исполнитель несет ответственность за квалификацию сотрудников, привлеченных для оказания услуг.</w:t>
      </w:r>
    </w:p>
    <w:p w:rsidR="00101458" w:rsidRPr="00F01C0A" w:rsidRDefault="00101458" w:rsidP="00AA295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Измерения и испытания должны выполняться проверенными и признанными годными к применению электроизмерительными приборами.</w:t>
      </w:r>
    </w:p>
    <w:p w:rsidR="00101458" w:rsidRPr="00F01C0A" w:rsidRDefault="00101458" w:rsidP="00AA2958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hAnsi="Times New Roman" w:cs="Times New Roman"/>
          <w:sz w:val="28"/>
          <w:szCs w:val="28"/>
        </w:rPr>
        <w:t>Протоколы испытаний должны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представлять точно, четко и недвусмысленно результаты испытаний и другую относящуюся к ним информацию.</w:t>
      </w:r>
    </w:p>
    <w:p w:rsidR="00101458" w:rsidRPr="00F01C0A" w:rsidRDefault="00101458" w:rsidP="00AA2958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F3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84F3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84F3F">
        <w:rPr>
          <w:rFonts w:ascii="Times New Roman" w:hAnsi="Times New Roman" w:cs="Times New Roman"/>
          <w:sz w:val="28"/>
          <w:szCs w:val="28"/>
        </w:rPr>
        <w:t xml:space="preserve">: </w:t>
      </w:r>
      <w:r w:rsidRPr="00F01C0A">
        <w:rPr>
          <w:rFonts w:ascii="Times New Roman" w:hAnsi="Times New Roman" w:cs="Times New Roman"/>
          <w:sz w:val="28"/>
          <w:szCs w:val="28"/>
        </w:rPr>
        <w:t>в</w:t>
      </w:r>
      <w:r w:rsidRPr="00F01C0A">
        <w:rPr>
          <w:rFonts w:ascii="Times New Roman" w:eastAsia="Calibri" w:hAnsi="Times New Roman" w:cs="Times New Roman"/>
          <w:bCs/>
          <w:sz w:val="28"/>
          <w:szCs w:val="28"/>
        </w:rPr>
        <w:t>о время выполнения работ подрядчик должен соблюдать нормы пожарной безопасности, охраны окружающей среды.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 xml:space="preserve">Безопасность оказания услуг  должна соответствовать требованиям ПУЭ и </w:t>
      </w:r>
      <w:r w:rsidRPr="00F01C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нормативно-технической документации на средства защиты.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>Услуги, являющиеся предметом контракта, должны соответствовать следующим требованиям законодательства Российской Федерации или установлены следующими актами законодательства Российской Федерации: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proofErr w:type="spellStart"/>
      <w:r w:rsidRPr="00F01C0A">
        <w:rPr>
          <w:rFonts w:ascii="Times New Roman" w:eastAsia="Calibri" w:hAnsi="Times New Roman" w:cs="Times New Roman"/>
          <w:bCs/>
          <w:sz w:val="28"/>
          <w:szCs w:val="28"/>
        </w:rPr>
        <w:t>СанПиН</w:t>
      </w:r>
      <w:proofErr w:type="spellEnd"/>
      <w:r w:rsidRPr="00F01C0A">
        <w:rPr>
          <w:rFonts w:ascii="Times New Roman" w:eastAsia="Calibri" w:hAnsi="Times New Roman" w:cs="Times New Roman"/>
          <w:bCs/>
          <w:sz w:val="28"/>
          <w:szCs w:val="28"/>
        </w:rPr>
        <w:t xml:space="preserve"> 2.6.1.12192-03 «Правила технической эксплуатации электроустановок потребителей»;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>– СП 76.13330.2016 «Электрические устройства»;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>– ГОСТ 12.1.009-2017 «</w:t>
      </w:r>
      <w:proofErr w:type="spellStart"/>
      <w:r w:rsidRPr="00F01C0A">
        <w:rPr>
          <w:rFonts w:ascii="Times New Roman" w:eastAsia="Calibri" w:hAnsi="Times New Roman" w:cs="Times New Roman"/>
          <w:bCs/>
          <w:sz w:val="28"/>
          <w:szCs w:val="28"/>
        </w:rPr>
        <w:t>Электробезопасность</w:t>
      </w:r>
      <w:proofErr w:type="spellEnd"/>
      <w:r w:rsidRPr="00F01C0A">
        <w:rPr>
          <w:rFonts w:ascii="Times New Roman" w:eastAsia="Calibri" w:hAnsi="Times New Roman" w:cs="Times New Roman"/>
          <w:bCs/>
          <w:sz w:val="28"/>
          <w:szCs w:val="28"/>
        </w:rPr>
        <w:t>. Термины и определения»;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>– СО 34.04.181-2003 Правила организации технического обслуживания и ремонта оборудования, зданий и сооружений электростанций и сетей;</w:t>
      </w:r>
    </w:p>
    <w:p w:rsidR="00101458" w:rsidRPr="00F01C0A" w:rsidRDefault="00101458" w:rsidP="00AA2958">
      <w:pPr>
        <w:pStyle w:val="ab"/>
        <w:widowControl w:val="0"/>
        <w:shd w:val="clear" w:color="auto" w:fill="FFFFFF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C0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proofErr w:type="spellStart"/>
      <w:r w:rsidRPr="00F01C0A">
        <w:rPr>
          <w:rFonts w:ascii="Times New Roman" w:eastAsia="Calibri" w:hAnsi="Times New Roman" w:cs="Times New Roman"/>
          <w:bCs/>
          <w:sz w:val="28"/>
          <w:szCs w:val="28"/>
        </w:rPr>
        <w:t>СНиП</w:t>
      </w:r>
      <w:proofErr w:type="spellEnd"/>
      <w:r w:rsidRPr="00F01C0A">
        <w:rPr>
          <w:rFonts w:ascii="Times New Roman" w:eastAsia="Calibri" w:hAnsi="Times New Roman" w:cs="Times New Roman"/>
          <w:bCs/>
          <w:sz w:val="28"/>
          <w:szCs w:val="28"/>
        </w:rPr>
        <w:t xml:space="preserve"> 12-04-2002 (ч.2) «Безопасность труда в строительстве» (Утв. Постановлением от 17 сентября 2002 г. N 123).</w:t>
      </w:r>
    </w:p>
    <w:p w:rsidR="00101458" w:rsidRPr="00F01C0A" w:rsidRDefault="00101458" w:rsidP="00AA2958">
      <w:pPr>
        <w:pStyle w:val="ac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sz w:val="28"/>
          <w:szCs w:val="28"/>
          <w:u w:val="single"/>
        </w:rPr>
        <w:t>услуг</w:t>
      </w:r>
      <w:r>
        <w:rPr>
          <w:sz w:val="28"/>
          <w:szCs w:val="28"/>
        </w:rPr>
        <w:t xml:space="preserve">: </w:t>
      </w:r>
      <w:r w:rsidRPr="00F01C0A">
        <w:rPr>
          <w:sz w:val="28"/>
          <w:szCs w:val="28"/>
        </w:rPr>
        <w:t>по факту оказания услуг.</w:t>
      </w:r>
    </w:p>
    <w:p w:rsidR="00101458" w:rsidRPr="00F01C0A" w:rsidRDefault="00101458" w:rsidP="00AA2958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01C0A">
        <w:rPr>
          <w:rFonts w:ascii="Times New Roman" w:hAnsi="Times New Roman" w:cs="Times New Roman"/>
          <w:sz w:val="28"/>
          <w:szCs w:val="28"/>
        </w:rPr>
        <w:t>в соответствии с актами  оказанных услуг.</w:t>
      </w:r>
    </w:p>
    <w:p w:rsidR="00101458" w:rsidRPr="00025E49" w:rsidRDefault="00101458" w:rsidP="00AA2958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E49">
        <w:rPr>
          <w:rFonts w:ascii="Times New Roman" w:hAnsi="Times New Roman" w:cs="Times New Roman"/>
          <w:sz w:val="28"/>
          <w:szCs w:val="28"/>
        </w:rPr>
        <w:t xml:space="preserve">оплата производится  по факту оказания услуг в соответствии с актами оказанных услуг по Контракту в срок 10 </w:t>
      </w:r>
      <w:r w:rsidR="00025E49" w:rsidRPr="00025E49">
        <w:rPr>
          <w:rFonts w:ascii="Times New Roman" w:hAnsi="Times New Roman" w:cs="Times New Roman"/>
          <w:sz w:val="28"/>
          <w:szCs w:val="28"/>
        </w:rPr>
        <w:t>рабочих</w:t>
      </w:r>
      <w:r w:rsidRPr="00025E49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101458" w:rsidRPr="00025E49" w:rsidRDefault="00101458" w:rsidP="00AA2958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9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9749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97498">
        <w:rPr>
          <w:rFonts w:ascii="Times New Roman" w:hAnsi="Times New Roman" w:cs="Times New Roman"/>
          <w:sz w:val="28"/>
          <w:szCs w:val="28"/>
        </w:rPr>
        <w:t xml:space="preserve">: </w:t>
      </w:r>
      <w:r w:rsidRPr="00025E49">
        <w:rPr>
          <w:rFonts w:ascii="Times New Roman" w:hAnsi="Times New Roman" w:cs="Times New Roman"/>
          <w:sz w:val="28"/>
          <w:szCs w:val="28"/>
        </w:rPr>
        <w:t>качество выполненных услуг должно удовлетворять требованиям нормативных правовых актов в сфере оказываемых услуг, как в отношении материалов, комплектующих и оборудования, используемых при выполнении услуг и других иных документов.</w:t>
      </w:r>
    </w:p>
    <w:p w:rsidR="00101458" w:rsidRPr="00025E49" w:rsidRDefault="00101458" w:rsidP="00AA295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E49">
        <w:rPr>
          <w:rFonts w:ascii="Times New Roman" w:hAnsi="Times New Roman" w:cs="Times New Roman"/>
          <w:sz w:val="28"/>
          <w:szCs w:val="28"/>
        </w:rPr>
        <w:t>Исполнитель несет ответственность по гарантийным обязательствам за качество выполненных услуг в течение трех лет со дня подписания Акта выполненных услуг.</w:t>
      </w:r>
    </w:p>
    <w:p w:rsidR="00101458" w:rsidRPr="00025E49" w:rsidRDefault="00101458" w:rsidP="00AA295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E49">
        <w:rPr>
          <w:rFonts w:ascii="Times New Roman" w:hAnsi="Times New Roman" w:cs="Times New Roman"/>
          <w:sz w:val="28"/>
          <w:szCs w:val="28"/>
        </w:rPr>
        <w:t>Исполнитель должен гарантировать, что все производимые услуги и оборудование, используемые для выполнения услуг, являющейся предметом закупки, строго соответствуют требованиям техники безопасности, пожарной безопасности и безопасности эксплуатации машин и механизмов.</w:t>
      </w:r>
    </w:p>
    <w:p w:rsidR="00101458" w:rsidRPr="00C12D8A" w:rsidRDefault="00101458" w:rsidP="00AA2958">
      <w:pPr>
        <w:pStyle w:val="ab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101458" w:rsidRDefault="00101458" w:rsidP="00AA2958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101458" w:rsidRDefault="00101458" w:rsidP="00AA2958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09247B" w:rsidRDefault="0009247B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8E8" w:rsidRDefault="009558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179AF" w:rsidRDefault="00E179AF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086C5A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086C5A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FA43B4" w:rsidRDefault="00FA43B4" w:rsidP="00FA43B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43B4" w:rsidRPr="00FA43B4" w:rsidRDefault="00FA43B4" w:rsidP="00FA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A43B4">
        <w:rPr>
          <w:rFonts w:ascii="Times New Roman" w:hAnsi="Times New Roman" w:cs="Times New Roman"/>
          <w:sz w:val="28"/>
          <w:szCs w:val="28"/>
        </w:rPr>
        <w:t xml:space="preserve">услуг по измерению сопротивления растекания </w:t>
      </w:r>
      <w:proofErr w:type="gramStart"/>
      <w:r w:rsidRPr="00FA43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43B4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spellStart"/>
      <w:r w:rsidRPr="00FA43B4">
        <w:rPr>
          <w:rFonts w:ascii="Times New Roman" w:hAnsi="Times New Roman" w:cs="Times New Roman"/>
          <w:sz w:val="28"/>
          <w:szCs w:val="28"/>
        </w:rPr>
        <w:t>заземлителях</w:t>
      </w:r>
      <w:proofErr w:type="spellEnd"/>
      <w:r w:rsidRPr="00FA43B4">
        <w:rPr>
          <w:rFonts w:ascii="Times New Roman" w:hAnsi="Times New Roman" w:cs="Times New Roman"/>
          <w:sz w:val="28"/>
          <w:szCs w:val="28"/>
        </w:rPr>
        <w:t xml:space="preserve"> и заземлений</w:t>
      </w:r>
    </w:p>
    <w:p w:rsidR="00FA43B4" w:rsidRPr="00FA43B4" w:rsidRDefault="00FA43B4" w:rsidP="00FA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B4">
        <w:rPr>
          <w:rFonts w:ascii="Times New Roman" w:hAnsi="Times New Roman" w:cs="Times New Roman"/>
          <w:sz w:val="28"/>
          <w:szCs w:val="28"/>
        </w:rPr>
        <w:t xml:space="preserve">магистралей и оборудования в здании Администрации городского округа </w:t>
      </w:r>
    </w:p>
    <w:p w:rsidR="00FA43B4" w:rsidRPr="00FA43B4" w:rsidRDefault="00FA43B4" w:rsidP="00FA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B4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3B4">
        <w:rPr>
          <w:rFonts w:ascii="Times New Roman" w:hAnsi="Times New Roman" w:cs="Times New Roman"/>
          <w:sz w:val="28"/>
          <w:szCs w:val="28"/>
        </w:rPr>
        <w:t xml:space="preserve">город Красный Луч Луганской </w:t>
      </w:r>
    </w:p>
    <w:p w:rsidR="00FA43B4" w:rsidRPr="00FA43B4" w:rsidRDefault="00FA43B4" w:rsidP="00FA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B4">
        <w:rPr>
          <w:rFonts w:ascii="Times New Roman" w:hAnsi="Times New Roman" w:cs="Times New Roman"/>
          <w:sz w:val="28"/>
          <w:szCs w:val="28"/>
        </w:rPr>
        <w:t xml:space="preserve">Народной Республики «Здание учебно-курсового комбината с учебным полигоном», </w:t>
      </w:r>
      <w:proofErr w:type="gramStart"/>
      <w:r w:rsidRPr="00FA43B4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FA43B4">
        <w:rPr>
          <w:rFonts w:ascii="Times New Roman" w:hAnsi="Times New Roman" w:cs="Times New Roman"/>
          <w:sz w:val="28"/>
          <w:szCs w:val="28"/>
        </w:rPr>
        <w:t xml:space="preserve"> по адресу: г. Красный Луч, ул. Студенческая, 4  </w:t>
      </w:r>
    </w:p>
    <w:p w:rsidR="00FA43B4" w:rsidRDefault="00FA43B4" w:rsidP="00FA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B4">
        <w:rPr>
          <w:rFonts w:ascii="Times New Roman" w:hAnsi="Times New Roman" w:cs="Times New Roman"/>
          <w:sz w:val="28"/>
          <w:szCs w:val="28"/>
        </w:rPr>
        <w:t>(общая площадь помещений – 3852 кв</w:t>
      </w:r>
      <w:proofErr w:type="gramStart"/>
      <w:r w:rsidRPr="00FA43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43B4">
        <w:rPr>
          <w:rFonts w:ascii="Times New Roman" w:hAnsi="Times New Roman" w:cs="Times New Roman"/>
          <w:sz w:val="28"/>
          <w:szCs w:val="28"/>
        </w:rPr>
        <w:t>)</w:t>
      </w:r>
    </w:p>
    <w:p w:rsidR="00AA2958" w:rsidRDefault="00AA2958" w:rsidP="00FA43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B4" w:rsidRDefault="00FA43B4" w:rsidP="00FA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FA43B4" w:rsidTr="00F10F07">
        <w:tc>
          <w:tcPr>
            <w:tcW w:w="643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FA43B4" w:rsidRPr="00D93204" w:rsidRDefault="00FA43B4" w:rsidP="00F1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FA43B4" w:rsidTr="00F10F07">
        <w:tc>
          <w:tcPr>
            <w:tcW w:w="643" w:type="dxa"/>
          </w:tcPr>
          <w:p w:rsidR="00FA43B4" w:rsidRPr="006854F2" w:rsidRDefault="00FA43B4" w:rsidP="00F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FA43B4" w:rsidRPr="0047082C" w:rsidRDefault="00FA43B4" w:rsidP="00F10F0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FA43B4" w:rsidRPr="00BA36A6" w:rsidRDefault="00FA43B4" w:rsidP="00F1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A43B4" w:rsidRPr="00BA36A6" w:rsidRDefault="00FA43B4" w:rsidP="00F10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B4" w:rsidTr="00F10F07">
        <w:tc>
          <w:tcPr>
            <w:tcW w:w="643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FA43B4" w:rsidRPr="006854F2" w:rsidRDefault="00FA43B4" w:rsidP="00F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A43B4" w:rsidRDefault="00FA43B4" w:rsidP="00F1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43B4" w:rsidRDefault="00FA43B4" w:rsidP="00FA43B4">
      <w:pPr>
        <w:pStyle w:val="ac"/>
        <w:spacing w:before="1"/>
        <w:rPr>
          <w:sz w:val="28"/>
          <w:szCs w:val="28"/>
        </w:rPr>
      </w:pPr>
    </w:p>
    <w:p w:rsidR="00FA43B4" w:rsidRPr="00752867" w:rsidRDefault="00FA43B4" w:rsidP="00FA43B4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FA43B4" w:rsidRPr="00305072" w:rsidRDefault="00FA43B4" w:rsidP="00FA43B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FA43B4" w:rsidRPr="00752867" w:rsidTr="00F10F07">
        <w:trPr>
          <w:trHeight w:val="270"/>
        </w:trPr>
        <w:tc>
          <w:tcPr>
            <w:tcW w:w="5536" w:type="dxa"/>
          </w:tcPr>
          <w:p w:rsidR="00FA43B4" w:rsidRDefault="00FA43B4" w:rsidP="00F10F0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FA43B4" w:rsidRDefault="00FA43B4" w:rsidP="00F10F0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FA43B4" w:rsidRPr="00305072" w:rsidRDefault="00FA43B4" w:rsidP="00F10F0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FA43B4" w:rsidRDefault="00FA43B4" w:rsidP="00F10F07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FA43B4" w:rsidRDefault="00FA43B4" w:rsidP="00F10F07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FA43B4" w:rsidRPr="00752867" w:rsidRDefault="00FA43B4" w:rsidP="00F10F0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FA43B4" w:rsidRPr="00752867" w:rsidTr="00F10F07">
        <w:trPr>
          <w:trHeight w:val="276"/>
        </w:trPr>
        <w:tc>
          <w:tcPr>
            <w:tcW w:w="5536" w:type="dxa"/>
          </w:tcPr>
          <w:p w:rsidR="00FA43B4" w:rsidRPr="00305072" w:rsidRDefault="00FA43B4" w:rsidP="00F10F0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FA43B4" w:rsidRPr="00752867" w:rsidRDefault="00FA43B4" w:rsidP="00F10F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A43B4" w:rsidRPr="00305072" w:rsidTr="00F10F07">
        <w:trPr>
          <w:trHeight w:val="270"/>
        </w:trPr>
        <w:tc>
          <w:tcPr>
            <w:tcW w:w="5536" w:type="dxa"/>
          </w:tcPr>
          <w:p w:rsidR="00FA43B4" w:rsidRPr="00305072" w:rsidRDefault="00FA43B4" w:rsidP="00F1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FA43B4" w:rsidRPr="00305072" w:rsidRDefault="00FA43B4" w:rsidP="00F10F07">
            <w:pPr>
              <w:rPr>
                <w:rFonts w:ascii="Times New Roman" w:hAnsi="Times New Roman" w:cs="Times New Roman"/>
              </w:rPr>
            </w:pPr>
          </w:p>
        </w:tc>
      </w:tr>
    </w:tbl>
    <w:p w:rsidR="00FA43B4" w:rsidRDefault="00FA43B4" w:rsidP="00FA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C0A" w:rsidRDefault="00F01C0A" w:rsidP="00580594">
      <w:pPr>
        <w:spacing w:after="0" w:line="240" w:lineRule="auto"/>
      </w:pPr>
      <w:r>
        <w:separator/>
      </w:r>
    </w:p>
  </w:endnote>
  <w:endnote w:type="continuationSeparator" w:id="1">
    <w:p w:rsidR="00F01C0A" w:rsidRDefault="00F01C0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C0A" w:rsidRDefault="00F01C0A" w:rsidP="00580594">
      <w:pPr>
        <w:spacing w:after="0" w:line="240" w:lineRule="auto"/>
      </w:pPr>
      <w:r>
        <w:separator/>
      </w:r>
    </w:p>
  </w:footnote>
  <w:footnote w:type="continuationSeparator" w:id="1">
    <w:p w:rsidR="00F01C0A" w:rsidRDefault="00F01C0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E49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16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C5A"/>
    <w:rsid w:val="0009136C"/>
    <w:rsid w:val="00091757"/>
    <w:rsid w:val="0009247B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1458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1EA6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3613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0743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A71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2183"/>
    <w:rsid w:val="00372B3A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074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4F0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760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910"/>
    <w:rsid w:val="00727DC4"/>
    <w:rsid w:val="007344D4"/>
    <w:rsid w:val="00743656"/>
    <w:rsid w:val="00745553"/>
    <w:rsid w:val="007477E7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A9E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16FE8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3FE9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638"/>
    <w:rsid w:val="00915910"/>
    <w:rsid w:val="009164FE"/>
    <w:rsid w:val="009219CC"/>
    <w:rsid w:val="00923B98"/>
    <w:rsid w:val="009240CF"/>
    <w:rsid w:val="009277E4"/>
    <w:rsid w:val="0093022D"/>
    <w:rsid w:val="0093447A"/>
    <w:rsid w:val="00934871"/>
    <w:rsid w:val="00936088"/>
    <w:rsid w:val="0095065B"/>
    <w:rsid w:val="009519C4"/>
    <w:rsid w:val="009526D0"/>
    <w:rsid w:val="00952C79"/>
    <w:rsid w:val="009558E8"/>
    <w:rsid w:val="00960EDA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D5F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435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64C3"/>
    <w:rsid w:val="00A574FA"/>
    <w:rsid w:val="00A579DC"/>
    <w:rsid w:val="00A60280"/>
    <w:rsid w:val="00A613AE"/>
    <w:rsid w:val="00A627AF"/>
    <w:rsid w:val="00A62D66"/>
    <w:rsid w:val="00A630C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958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58E6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B7F72"/>
    <w:rsid w:val="00BC2459"/>
    <w:rsid w:val="00BC2E1E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3F2A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79AF"/>
    <w:rsid w:val="00E210B3"/>
    <w:rsid w:val="00E26838"/>
    <w:rsid w:val="00E275ED"/>
    <w:rsid w:val="00E336A6"/>
    <w:rsid w:val="00E3444E"/>
    <w:rsid w:val="00E35B2B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1C0A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5CEE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4045"/>
    <w:rsid w:val="00F74BBE"/>
    <w:rsid w:val="00F75281"/>
    <w:rsid w:val="00F77949"/>
    <w:rsid w:val="00F77B74"/>
    <w:rsid w:val="00F810B3"/>
    <w:rsid w:val="00F811B9"/>
    <w:rsid w:val="00F85563"/>
    <w:rsid w:val="00F86A53"/>
    <w:rsid w:val="00F95D19"/>
    <w:rsid w:val="00F976C8"/>
    <w:rsid w:val="00F979BF"/>
    <w:rsid w:val="00F97BD7"/>
    <w:rsid w:val="00FA0948"/>
    <w:rsid w:val="00FA3F5D"/>
    <w:rsid w:val="00FA43B4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130</cp:revision>
  <cp:lastPrinted>2024-08-12T08:06:00Z</cp:lastPrinted>
  <dcterms:created xsi:type="dcterms:W3CDTF">2024-02-14T06:37:00Z</dcterms:created>
  <dcterms:modified xsi:type="dcterms:W3CDTF">2024-08-19T11:01:00Z</dcterms:modified>
</cp:coreProperties>
</file>