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56" w:rsidRDefault="00DE6F7F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Администрации городского округа муниципальное образование городской округ город Красный Луч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Луганской Народной Республики</w:t>
      </w:r>
    </w:p>
    <w:p w:rsidR="000C7256" w:rsidRDefault="000C7256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C7256" w:rsidRDefault="00DE6F7F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ПРИКАЗ</w:t>
      </w:r>
    </w:p>
    <w:p w:rsidR="000C7256" w:rsidRDefault="000C7256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C7256" w:rsidRDefault="00D93C9C" w:rsidP="00D93C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«02»  декабря 2024 г.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DE6F7F">
        <w:rPr>
          <w:rFonts w:ascii="Times New Roman" w:hAnsi="Times New Roman"/>
          <w:sz w:val="28"/>
          <w:szCs w:val="28"/>
        </w:rPr>
        <w:tab/>
      </w:r>
      <w:r w:rsidR="00DE6F7F">
        <w:rPr>
          <w:rFonts w:ascii="Times New Roman" w:hAnsi="Times New Roman"/>
          <w:sz w:val="28"/>
          <w:szCs w:val="28"/>
        </w:rPr>
        <w:tab/>
      </w:r>
      <w:r w:rsidR="00DE6F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E6F7F">
        <w:rPr>
          <w:rFonts w:ascii="Times New Roman" w:hAnsi="Times New Roman"/>
          <w:sz w:val="28"/>
          <w:szCs w:val="28"/>
        </w:rPr>
        <w:t xml:space="preserve">    № 81/24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DE6F7F">
        <w:rPr>
          <w:rFonts w:ascii="Times New Roman" w:hAnsi="Times New Roman"/>
          <w:sz w:val="28"/>
          <w:szCs w:val="28"/>
        </w:rPr>
        <w:t>г. Красный Луч</w:t>
      </w:r>
    </w:p>
    <w:p w:rsidR="000C7256" w:rsidRDefault="000C72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7256" w:rsidRDefault="00DE6F7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0C7256" w:rsidRDefault="00DE6F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городской округ город Красный Луч Луган</w:t>
      </w:r>
      <w:r>
        <w:rPr>
          <w:rFonts w:ascii="Times New Roman" w:hAnsi="Times New Roman" w:cs="Times New Roman"/>
          <w:sz w:val="28"/>
          <w:szCs w:val="28"/>
        </w:rPr>
        <w:t>ской Народной Республики, перечня главных администраторов доходов бюджета муниципального образования городской округ город Красный Луч Луганской Народной Республики</w:t>
      </w:r>
    </w:p>
    <w:p w:rsidR="000C7256" w:rsidRDefault="00DE6F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p w:rsidR="000C7256" w:rsidRDefault="000C7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абзацем седьмым пункта 1 статьи 9, абзацем седьмым пункта 9 </w:t>
      </w:r>
      <w:r>
        <w:rPr>
          <w:rFonts w:ascii="Times New Roman" w:hAnsi="Times New Roman" w:cs="Times New Roman"/>
          <w:sz w:val="28"/>
          <w:szCs w:val="28"/>
        </w:rPr>
        <w:t>статьи 20, пунктом 4 статьи 21, пунктом 7 статьи 23, абзацем четвертым пункта 3 статьи 160, абзацем четвертым пункта 4 статьи 160 Бюджетного кодекса Российской Федерации, приказом Министерства финансов Российской Федерации от 24 мая 2022 года № 82н "О Поря</w:t>
      </w:r>
      <w:r>
        <w:rPr>
          <w:rFonts w:ascii="Times New Roman" w:hAnsi="Times New Roman" w:cs="Times New Roman"/>
          <w:sz w:val="28"/>
          <w:szCs w:val="28"/>
        </w:rPr>
        <w:t>дке формирования и применения кодов бюджетной классификации Российской Федерации, их структуре и принципах назначения" (зарегистрирован Министерством юстиции Российской Федерации 30 июня 2022 года, регистрационный № 69085), Положением о финансовом управлен</w:t>
      </w:r>
      <w:r>
        <w:rPr>
          <w:rFonts w:ascii="Times New Roman" w:hAnsi="Times New Roman" w:cs="Times New Roman"/>
          <w:sz w:val="28"/>
          <w:szCs w:val="28"/>
        </w:rPr>
        <w:t>ии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</w:t>
      </w:r>
      <w:r>
        <w:rPr>
          <w:rFonts w:ascii="Times New Roman" w:hAnsi="Times New Roman" w:cs="Times New Roman"/>
          <w:sz w:val="28"/>
          <w:szCs w:val="28"/>
        </w:rPr>
        <w:t xml:space="preserve">ублики 21 декабря 2023 года № 4(с изменениями), в целях организации работы по составлению </w:t>
      </w:r>
      <w:r>
        <w:rPr>
          <w:rFonts w:ascii="Times New Roman" w:hAnsi="Times New Roman" w:cs="Times New Roman"/>
          <w:sz w:val="28"/>
          <w:szCs w:val="28"/>
        </w:rPr>
        <w:br/>
        <w:t>и исполнению местного бюджета</w:t>
      </w:r>
    </w:p>
    <w:p w:rsidR="000C7256" w:rsidRDefault="000C7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:rsidR="000C7256" w:rsidRDefault="000C7256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p w:rsidR="000C7256" w:rsidRDefault="00DE6F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Утвердить: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Положение о порядке применения бюджетной классификации Российской Федерации в части, относящейся к б</w:t>
      </w:r>
      <w:r>
        <w:rPr>
          <w:rFonts w:ascii="Times New Roman" w:hAnsi="Times New Roman" w:cs="Times New Roman"/>
          <w:sz w:val="28"/>
          <w:szCs w:val="28"/>
        </w:rPr>
        <w:t xml:space="preserve">юджету муниципального образования городской округ город Красный Луч Луганской Народной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Республики, согласно приложению № 1 к настоящему приказу.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Коды главных администраторов доходов бюджета муниципального образования городской округ город Красный Луч </w:t>
      </w:r>
      <w:r>
        <w:rPr>
          <w:rFonts w:ascii="Times New Roman" w:hAnsi="Times New Roman" w:cs="Times New Roman"/>
          <w:sz w:val="28"/>
          <w:szCs w:val="28"/>
        </w:rPr>
        <w:t>Луганской Народной Республики – органов местного самоуправления, органов местной администрации согласно приложению № 2 к настоящему приказу.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Коды главных распорядителей средств бюджета муниципального образования городской округ город Красный Луч Луган</w:t>
      </w:r>
      <w:r>
        <w:rPr>
          <w:rFonts w:ascii="Times New Roman" w:hAnsi="Times New Roman" w:cs="Times New Roman"/>
          <w:sz w:val="28"/>
          <w:szCs w:val="28"/>
        </w:rPr>
        <w:t>ской Народной Республики согласно приложению № 3 к настоящему приказу.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Перечень и коды целевых статей расходов бюджета муниципального образования городской округ город Красный Луч Луганской Народной Республики согласно приложению № 4 к настоящему прик</w:t>
      </w:r>
      <w:r>
        <w:rPr>
          <w:rFonts w:ascii="Times New Roman" w:hAnsi="Times New Roman" w:cs="Times New Roman"/>
          <w:sz w:val="28"/>
          <w:szCs w:val="28"/>
        </w:rPr>
        <w:t>азу.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Перечень и коды целевых статей расходов бюджета муниципального образования городской округ город Красный Луч Луганской Народной Республики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финансовое обеспечение которых осуществляется в форме межбюджетных трансфертов из бюджетов бюджетной систе</w:t>
      </w:r>
      <w:r>
        <w:rPr>
          <w:rFonts w:ascii="Times New Roman" w:hAnsi="Times New Roman" w:cs="Times New Roman"/>
          <w:iCs/>
          <w:sz w:val="28"/>
          <w:szCs w:val="28"/>
        </w:rPr>
        <w:t xml:space="preserve">мы Российской Федерации, имеющих целевое назначение, согласно </w:t>
      </w:r>
      <w:r>
        <w:rPr>
          <w:rFonts w:ascii="Times New Roman" w:hAnsi="Times New Roman" w:cs="Times New Roman"/>
          <w:sz w:val="28"/>
          <w:szCs w:val="28"/>
        </w:rPr>
        <w:t>приложению № 5 к настоящему приказу.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Коды главных администраторов источников финансирования дефицита бюджета муниципального образования городской округ город Красный Луч Луганской Народной </w:t>
      </w:r>
      <w:r>
        <w:rPr>
          <w:rFonts w:ascii="Times New Roman" w:hAnsi="Times New Roman" w:cs="Times New Roman"/>
          <w:sz w:val="28"/>
          <w:szCs w:val="28"/>
        </w:rPr>
        <w:t>Республики согласно приложению № 6 к настоящему приказу.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Установить, что настоящий приказ применяется к правоотношениям, возникающим при составлении и исполнении бюджета муниципального образования городской округ город Красный Луч Луганской Народной Рес</w:t>
      </w:r>
      <w:r>
        <w:rPr>
          <w:rFonts w:ascii="Times New Roman" w:hAnsi="Times New Roman" w:cs="Times New Roman"/>
          <w:sz w:val="28"/>
          <w:szCs w:val="28"/>
        </w:rPr>
        <w:t>публики на 2025 год.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утратившими силу с 01.01.2025 приказы  </w:t>
      </w: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 городского округа муниципальное образование городской округ город Красный Луч Луганской Народной Республики:</w:t>
      </w:r>
    </w:p>
    <w:p w:rsidR="000C7256" w:rsidRDefault="00DE6F7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от 21.12.2023 №1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порядка применения бюджетной классификации Российской Федерации в части, относящейся к бюджету муниципального образования городской округ город Красный Луч Луганской Народной Республики, перечня главных администраторов доходов бюджета муниципального образо</w:t>
      </w:r>
      <w:r>
        <w:rPr>
          <w:rFonts w:ascii="Times New Roman" w:hAnsi="Times New Roman" w:cs="Times New Roman"/>
          <w:b w:val="0"/>
          <w:sz w:val="28"/>
          <w:szCs w:val="28"/>
        </w:rPr>
        <w:t>вания городской округ город Красный Луч Луганской Народной Республики на 2024 год»; от 21.12.2023 №2; от 29.01.2024 №13; от 12.03.2024 №23; от 17.05.2024 №36-24; от 01.08.2024 №52-24.</w:t>
      </w:r>
    </w:p>
    <w:p w:rsidR="000C7256" w:rsidRDefault="00DE6F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 Разместить настоящий приказ на официальном сайте Администрации город</w:t>
      </w:r>
      <w:r>
        <w:rPr>
          <w:rFonts w:ascii="Times New Roman" w:hAnsi="Times New Roman"/>
          <w:sz w:val="28"/>
          <w:szCs w:val="28"/>
        </w:rPr>
        <w:t xml:space="preserve">а Красный Луч Луганской Народной Республики в информационно -телекоммуникационной сети «Интернет»  </w:t>
      </w:r>
      <w:r>
        <w:rPr>
          <w:rFonts w:ascii="Times New Roman" w:eastAsia="MS Mincho" w:hAnsi="Times New Roman"/>
          <w:color w:val="000000"/>
          <w:sz w:val="28"/>
          <w:szCs w:val="28"/>
        </w:rPr>
        <w:t>(https://krasnyluch.su/)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</w:t>
      </w:r>
    </w:p>
    <w:p w:rsidR="000C7256" w:rsidRDefault="00DE6F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за исполнением данного приказа ос</w:t>
      </w:r>
      <w:r>
        <w:rPr>
          <w:rFonts w:ascii="Times New Roman" w:hAnsi="Times New Roman" w:cs="Times New Roman"/>
          <w:sz w:val="28"/>
          <w:szCs w:val="28"/>
        </w:rPr>
        <w:t>тавляю за собой.</w:t>
      </w: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af1"/>
        <w:tabs>
          <w:tab w:val="left" w:pos="7513"/>
        </w:tabs>
        <w:spacing w:line="240" w:lineRule="auto"/>
        <w:ind w:firstLine="0"/>
        <w:rPr>
          <w:szCs w:val="28"/>
        </w:rPr>
      </w:pPr>
      <w:r>
        <w:rPr>
          <w:szCs w:val="28"/>
        </w:rPr>
        <w:t>Начальник финансового управления</w:t>
      </w:r>
    </w:p>
    <w:p w:rsidR="000C7256" w:rsidRDefault="00DE6F7F">
      <w:pPr>
        <w:pStyle w:val="af1"/>
        <w:tabs>
          <w:tab w:val="left" w:pos="7513"/>
        </w:tabs>
        <w:spacing w:line="240" w:lineRule="auto"/>
        <w:ind w:firstLine="0"/>
      </w:pPr>
      <w:r>
        <w:rPr>
          <w:szCs w:val="28"/>
        </w:rPr>
        <w:t xml:space="preserve">Администрации </w:t>
      </w:r>
      <w:r>
        <w:t xml:space="preserve">городского округа </w:t>
      </w:r>
    </w:p>
    <w:p w:rsidR="000C7256" w:rsidRDefault="00DE6F7F">
      <w:pPr>
        <w:pStyle w:val="af1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0C7256" w:rsidRDefault="00DE6F7F">
      <w:pPr>
        <w:pStyle w:val="af1"/>
        <w:tabs>
          <w:tab w:val="left" w:pos="7513"/>
        </w:tabs>
        <w:spacing w:line="240" w:lineRule="auto"/>
        <w:ind w:firstLine="0"/>
      </w:pPr>
      <w:r>
        <w:t xml:space="preserve">городской округ город Красный Луч </w:t>
      </w:r>
    </w:p>
    <w:p w:rsidR="000C7256" w:rsidRDefault="00DE6F7F">
      <w:pPr>
        <w:pStyle w:val="af1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  <w:sectPr w:rsidR="000C7256">
          <w:headerReference w:type="default" r:id="rId7"/>
          <w:headerReference w:type="first" r:id="rId8"/>
          <w:pgSz w:w="11906" w:h="16838"/>
          <w:pgMar w:top="851" w:right="709" w:bottom="1134" w:left="1701" w:header="0" w:footer="0" w:gutter="0"/>
          <w:pgNumType w:start="1"/>
          <w:cols w:space="720"/>
          <w:formProt w:val="0"/>
          <w:titlePg/>
          <w:docGrid w:linePitch="299" w:charSpace="4096"/>
        </w:sectPr>
      </w:pPr>
      <w:r>
        <w:rPr>
          <w:szCs w:val="28"/>
          <w:shd w:val="clear" w:color="auto" w:fill="FFFFFF"/>
        </w:rPr>
        <w:t>Луганской Народной Республики                                                   В.Ш. Грибова</w:t>
      </w:r>
    </w:p>
    <w:p w:rsidR="000C7256" w:rsidRDefault="000C7256">
      <w:pPr>
        <w:pStyle w:val="af1"/>
        <w:tabs>
          <w:tab w:val="left" w:pos="7513"/>
        </w:tabs>
        <w:spacing w:line="240" w:lineRule="auto"/>
        <w:ind w:firstLine="0"/>
        <w:rPr>
          <w:szCs w:val="28"/>
        </w:rPr>
      </w:pPr>
    </w:p>
    <w:p w:rsidR="000C7256" w:rsidRDefault="00DE6F7F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C7256" w:rsidRDefault="00DE6F7F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финансового управления Администрации  городского округа муниципальное образование городской округ </w:t>
      </w:r>
    </w:p>
    <w:p w:rsidR="000C7256" w:rsidRDefault="00DE6F7F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Красный Луч </w:t>
      </w:r>
    </w:p>
    <w:p w:rsidR="000C7256" w:rsidRDefault="00DE6F7F">
      <w:pPr>
        <w:spacing w:after="0" w:line="36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Луганской Народной Республики       </w:t>
      </w:r>
    </w:p>
    <w:p w:rsidR="000C7256" w:rsidRDefault="00DE6F7F">
      <w:pPr>
        <w:spacing w:after="0" w:line="360" w:lineRule="auto"/>
        <w:ind w:left="410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«02»декабря 2024 года № 81/24</w:t>
      </w:r>
    </w:p>
    <w:p w:rsidR="000C7256" w:rsidRDefault="00DE6F7F">
      <w:pPr>
        <w:spacing w:after="0" w:line="360" w:lineRule="auto"/>
        <w:ind w:left="410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C7256" w:rsidRDefault="00DE6F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применения бюджетной классификации </w:t>
      </w:r>
    </w:p>
    <w:p w:rsidR="000C7256" w:rsidRDefault="00DE6F7F">
      <w:pPr>
        <w:pStyle w:val="ConsPlusTitle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в части, </w:t>
      </w:r>
      <w:r>
        <w:rPr>
          <w:rFonts w:ascii="Times New Roman" w:hAnsi="Times New Roman" w:cs="Times New Roman"/>
          <w:sz w:val="28"/>
          <w:szCs w:val="28"/>
        </w:rPr>
        <w:br/>
        <w:t>относящейся к бюджету муниципального образования городской округ город Красны</w:t>
      </w:r>
      <w:r>
        <w:rPr>
          <w:rFonts w:ascii="Times New Roman" w:hAnsi="Times New Roman" w:cs="Times New Roman"/>
          <w:sz w:val="28"/>
          <w:szCs w:val="28"/>
        </w:rPr>
        <w:t>й Луч Луганской Народной Республики</w:t>
      </w:r>
    </w:p>
    <w:p w:rsidR="000C7256" w:rsidRDefault="000C7256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Cs w:val="20"/>
        </w:rPr>
      </w:pPr>
    </w:p>
    <w:p w:rsidR="000C7256" w:rsidRDefault="00DE6F7F">
      <w:pPr>
        <w:pStyle w:val="Heading1"/>
        <w:shd w:val="clear" w:color="auto" w:fill="FFFFFF"/>
        <w:spacing w:before="161" w:after="161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Настоящее Положение разработано в соответствии с положениями главы 4 Бюджетного кодекса Российской Федерации, приказом Министерства финансов Российской Федерации от 24 мая 2022 г. № 82н          "О Порядке формирования </w:t>
      </w:r>
      <w:r>
        <w:rPr>
          <w:rFonts w:ascii="Times New Roman" w:hAnsi="Times New Roman" w:cs="Times New Roman"/>
          <w:b w:val="0"/>
          <w:color w:val="000000" w:themeColor="text1"/>
        </w:rPr>
        <w:t>и применения кодов бюджетной классификации Российской Федерации, их структуре и принципах назначения", приказом Министерства финансов Российской Федерации от 10 июня 2024 N 85н "Об утверждении кодов (перечней кодов) бюджетной классификации Российской Федер</w:t>
      </w:r>
      <w:r>
        <w:rPr>
          <w:rFonts w:ascii="Times New Roman" w:hAnsi="Times New Roman" w:cs="Times New Roman"/>
          <w:b w:val="0"/>
          <w:color w:val="000000" w:themeColor="text1"/>
        </w:rPr>
        <w:t>ации на 2025 год (на 2025 год и на плановый период 2026 и 2027 годов) " и применяется при составлении и исполнении бюджета муниципального образования городской округ город Красный Луч Луганской Народной Республики на 2025 год.</w:t>
      </w: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Порядок формирования кодо</w:t>
      </w:r>
      <w:r>
        <w:rPr>
          <w:rFonts w:ascii="Times New Roman" w:hAnsi="Times New Roman" w:cs="Times New Roman"/>
          <w:sz w:val="28"/>
          <w:szCs w:val="28"/>
        </w:rPr>
        <w:t>в целевых статей расходов бюджета муниципального образования городской округ город Красный Луч Луганской Народной Республики</w:t>
      </w: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статьи расходов бюджета муниципального образования городской округ город Красный Луч Луганской Народной Республики формиру</w:t>
      </w:r>
      <w:r>
        <w:rPr>
          <w:rFonts w:ascii="Times New Roman" w:hAnsi="Times New Roman" w:cs="Times New Roman"/>
          <w:sz w:val="28"/>
          <w:szCs w:val="28"/>
        </w:rPr>
        <w:t>ются в следующем порядке.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кодов целевых статей расходов бюджета муниципального образования городской округ город Красный Луч Луганской Народной Республики применяются следующие основные подходы: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Целевые статьи расходов бюджета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городской округ город Красный Луч Луганской Народной Республики обеспечивают привязку бюджетных ассигнований к непрограммным направлениям деятельности (функциям) органов местного самоуправления.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Код целевой статьи расходов бюджета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городской округ город Красный Луч Луганской Народной Республики  состоит из десяти разрядов (8 - 17 разряды кода классификации расходов).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кода целевой статьи расходов бюджета муниципального образования городской округ город</w:t>
      </w:r>
      <w:r>
        <w:rPr>
          <w:rFonts w:ascii="Times New Roman" w:hAnsi="Times New Roman" w:cs="Times New Roman"/>
          <w:sz w:val="28"/>
          <w:szCs w:val="28"/>
        </w:rPr>
        <w:t xml:space="preserve"> Красный Луч Луганской Народной Республики включает следующие составные части  (таблица 1):</w:t>
      </w:r>
    </w:p>
    <w:p w:rsidR="000C7256" w:rsidRDefault="000C7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47"/>
        <w:gridCol w:w="850"/>
        <w:gridCol w:w="851"/>
        <w:gridCol w:w="1134"/>
        <w:gridCol w:w="1134"/>
        <w:gridCol w:w="850"/>
        <w:gridCol w:w="853"/>
        <w:gridCol w:w="848"/>
        <w:gridCol w:w="854"/>
        <w:gridCol w:w="818"/>
      </w:tblGrid>
      <w:tr w:rsidR="000C7256">
        <w:trPr>
          <w:jc w:val="center"/>
        </w:trPr>
        <w:tc>
          <w:tcPr>
            <w:tcW w:w="9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Целевая статья</w:t>
            </w:r>
          </w:p>
        </w:tc>
      </w:tr>
      <w:tr w:rsidR="000C7256">
        <w:trPr>
          <w:jc w:val="center"/>
        </w:trPr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Программная (непрограммная) статья</w:t>
            </w:r>
          </w:p>
        </w:tc>
        <w:tc>
          <w:tcPr>
            <w:tcW w:w="42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Направление расходов</w:t>
            </w:r>
          </w:p>
        </w:tc>
      </w:tr>
      <w:tr w:rsidR="000C7256">
        <w:trPr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Непрограммное направление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Дополнительный код непрограммного </w:t>
            </w:r>
            <w:r>
              <w:rPr>
                <w:rFonts w:ascii="Times New Roman" w:eastAsia="Times New Roman" w:hAnsi="Times New Roman" w:cs="Times New Roman"/>
                <w:szCs w:val="20"/>
              </w:rPr>
              <w:t>направления деятельности</w:t>
            </w:r>
          </w:p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(структурный элемент)</w:t>
            </w:r>
          </w:p>
        </w:tc>
        <w:tc>
          <w:tcPr>
            <w:tcW w:w="422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0C7256">
            <w:pPr>
              <w:pStyle w:val="ConsPlusNormal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C725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spacing w:line="19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</w:tr>
    </w:tbl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код непрограммного направления деятельности (8 – 10 разряды кода бюджетной классификации Российской Федерации) предназначен для кодирования бюджетных ассигнований по </w:t>
      </w:r>
      <w:r>
        <w:rPr>
          <w:rFonts w:ascii="Times New Roman" w:hAnsi="Times New Roman" w:cs="Times New Roman"/>
          <w:sz w:val="28"/>
          <w:szCs w:val="28"/>
        </w:rPr>
        <w:t>непрограммным направлениям деятельности органов местного самоуправления, наиболее значимых учреждений науки, образования, культуры и здравоохранения, указанных в ведомственной структуре расходов бюджета;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дополнительный код непрограммного направления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</w:t>
      </w:r>
      <w:r>
        <w:rPr>
          <w:rFonts w:ascii="Times New Roman" w:hAnsi="Times New Roman" w:cs="Times New Roman"/>
          <w:sz w:val="28"/>
          <w:szCs w:val="28"/>
        </w:rPr>
        <w:br/>
        <w:t>(код структурного элемента) (11- 12 разряды кода бюджетной классификации Российской Федерации) предназначен для кодирования бюджетных ассигнований на: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мероприятий, направленных на реализацию региональных проектов, направле</w:t>
      </w:r>
      <w:r>
        <w:rPr>
          <w:rFonts w:ascii="Times New Roman" w:hAnsi="Times New Roman" w:cs="Times New Roman"/>
          <w:sz w:val="28"/>
          <w:szCs w:val="28"/>
        </w:rPr>
        <w:t>нных на достижение соответствующих результатов реализации федеральных проектов, входящих в состав национальных проектов (программы) или комплексного плана модернизации и расширения магистральной инфраструктуры;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мероприятий, направлен</w:t>
      </w:r>
      <w:r>
        <w:rPr>
          <w:rFonts w:ascii="Times New Roman" w:hAnsi="Times New Roman" w:cs="Times New Roman"/>
          <w:sz w:val="28"/>
          <w:szCs w:val="28"/>
        </w:rPr>
        <w:t>ных на обеспечение деятельности органов местного самоуправления, и иных мероприятий;</w:t>
      </w:r>
    </w:p>
    <w:p w:rsidR="000C7256" w:rsidRDefault="00DE6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код направления расходов (13 - 17 разряды кода бюджетной классификации Российской Федерации) предназначен для кодирования бюджетных ассигнований по соответствующему нап</w:t>
      </w:r>
      <w:r>
        <w:rPr>
          <w:rFonts w:ascii="Times New Roman" w:hAnsi="Times New Roman" w:cs="Times New Roman"/>
          <w:sz w:val="28"/>
          <w:szCs w:val="28"/>
        </w:rPr>
        <w:t>равлению (цели) расходования средств.</w:t>
      </w:r>
    </w:p>
    <w:p w:rsidR="000C7256" w:rsidRDefault="000C7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br w:type="page"/>
      </w: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Правила отнесения расходов бюджета муниципального образования городской округ город Красный Луч Луганской Народной Республики</w:t>
      </w:r>
    </w:p>
    <w:p w:rsidR="000C7256" w:rsidRDefault="00DE6F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соответствующие целевые статьи расходов</w:t>
      </w: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 включают:</w:t>
      </w:r>
    </w:p>
    <w:p w:rsidR="000C7256" w:rsidRDefault="000C7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 0 00 00000 "Реализация иных функций органов местного самоуправления и отраслевых (функциональных) органов администрации"</w:t>
      </w:r>
    </w:p>
    <w:p w:rsidR="000C7256" w:rsidRDefault="000C7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статьи непрограммного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деятельности включают:</w:t>
      </w:r>
    </w:p>
    <w:p w:rsidR="000C7256" w:rsidRDefault="00DE6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9900060461       </w:t>
      </w:r>
      <w:r>
        <w:rPr>
          <w:rFonts w:ascii="Times New Roman" w:hAnsi="Times New Roman" w:cs="Times New Roman"/>
          <w:sz w:val="28"/>
          <w:szCs w:val="28"/>
        </w:rPr>
        <w:t>Расходы на обеспечение выполнения функций  Советом городского округа  муниципальное образование городской округ город Красный Луч Луганской Народной Республики;</w:t>
      </w:r>
    </w:p>
    <w:p w:rsidR="000C7256" w:rsidRDefault="00DE6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9900060462</w:t>
      </w:r>
      <w:r>
        <w:rPr>
          <w:rFonts w:ascii="Times New Roman" w:hAnsi="Times New Roman" w:cs="Times New Roman"/>
          <w:sz w:val="28"/>
          <w:szCs w:val="28"/>
        </w:rPr>
        <w:t xml:space="preserve">  Расходы на обеспечение выполне</w:t>
      </w:r>
      <w:r>
        <w:rPr>
          <w:rFonts w:ascii="Times New Roman" w:hAnsi="Times New Roman" w:cs="Times New Roman"/>
          <w:sz w:val="28"/>
          <w:szCs w:val="28"/>
        </w:rPr>
        <w:t>ния функций  Администрацией  городского округа муниципальное образование городской округ город Красный Луч Луганской Народной Республики;</w:t>
      </w:r>
    </w:p>
    <w:p w:rsidR="000C7256" w:rsidRDefault="00DE6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9900060463</w:t>
      </w:r>
      <w:r>
        <w:rPr>
          <w:rFonts w:ascii="Times New Roman" w:hAnsi="Times New Roman" w:cs="Times New Roman"/>
          <w:sz w:val="28"/>
          <w:szCs w:val="28"/>
        </w:rPr>
        <w:t xml:space="preserve"> Расходы на обеспечение деятельности Главы  городского округа муниципальное образование городской округ горо</w:t>
      </w:r>
      <w:r>
        <w:rPr>
          <w:rFonts w:ascii="Times New Roman" w:hAnsi="Times New Roman" w:cs="Times New Roman"/>
          <w:sz w:val="28"/>
          <w:szCs w:val="28"/>
        </w:rPr>
        <w:t>д Красный Луч Луганской Народной Республики;</w:t>
      </w:r>
    </w:p>
    <w:p w:rsidR="000C7256" w:rsidRDefault="00DE6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9900060464 </w:t>
      </w:r>
      <w:r>
        <w:rPr>
          <w:rFonts w:ascii="Times New Roman" w:hAnsi="Times New Roman" w:cs="Times New Roman"/>
          <w:sz w:val="28"/>
          <w:szCs w:val="28"/>
        </w:rPr>
        <w:t xml:space="preserve">     Расходы на обеспечение выполнения функций Финансовым управлением Администрации городского округа муниципальное образование городской округ город Красный Луч Луганской Народной Республики;</w:t>
      </w:r>
    </w:p>
    <w:p w:rsidR="000C7256" w:rsidRDefault="00DE6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9900002</w:t>
      </w:r>
      <w:r>
        <w:rPr>
          <w:rFonts w:ascii="Times New Roman" w:hAnsi="Times New Roman" w:cs="Times New Roman"/>
          <w:b/>
          <w:sz w:val="28"/>
          <w:szCs w:val="28"/>
        </w:rPr>
        <w:t xml:space="preserve">760      </w:t>
      </w:r>
      <w:r>
        <w:rPr>
          <w:rFonts w:ascii="Times New Roman" w:hAnsi="Times New Roman" w:cs="Times New Roman"/>
          <w:sz w:val="28"/>
          <w:szCs w:val="28"/>
        </w:rPr>
        <w:t>Резервный фонд Администрации городского округа муниципальное образование город Красный Луч Луганской Народной Республики;</w:t>
      </w:r>
    </w:p>
    <w:p w:rsidR="000C7256" w:rsidRDefault="00DE6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9900023166   </w:t>
      </w:r>
      <w:r>
        <w:rPr>
          <w:rFonts w:ascii="Times New Roman" w:hAnsi="Times New Roman" w:cs="Times New Roman"/>
          <w:sz w:val="28"/>
          <w:szCs w:val="28"/>
        </w:rPr>
        <w:t>Расходы на приобретение услуг по предоставлению неисключительных (пользовательских) прав на использование резуль</w:t>
      </w:r>
      <w:r>
        <w:rPr>
          <w:rFonts w:ascii="Times New Roman" w:hAnsi="Times New Roman" w:cs="Times New Roman"/>
          <w:sz w:val="28"/>
          <w:szCs w:val="28"/>
        </w:rPr>
        <w:t>татов интеллектуальной деятельности (программ для ЭВМ);</w:t>
      </w:r>
    </w:p>
    <w:p w:rsidR="000C7256" w:rsidRDefault="00DE6F7F">
      <w:pPr>
        <w:pStyle w:val="ConsPlusNormal"/>
        <w:tabs>
          <w:tab w:val="left" w:pos="27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9900075361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рочие расходы, не отнесенные к основным группам, предусмотренные для выполнения поручений не по основному виду деятельности;</w:t>
      </w:r>
    </w:p>
    <w:p w:rsidR="000C7256" w:rsidRDefault="00D93C9C">
      <w:pPr>
        <w:pStyle w:val="a7"/>
        <w:jc w:val="both"/>
        <w:rPr>
          <w:bCs/>
          <w:color w:val="000000"/>
          <w:szCs w:val="28"/>
          <w:lang w:val="ru-RU"/>
        </w:rPr>
      </w:pPr>
      <w:r>
        <w:rPr>
          <w:b/>
          <w:szCs w:val="28"/>
          <w:lang w:val="ru-RU"/>
        </w:rPr>
        <w:t xml:space="preserve">      </w:t>
      </w:r>
      <w:r w:rsidR="00DE6F7F">
        <w:rPr>
          <w:b/>
          <w:szCs w:val="28"/>
          <w:lang w:val="ru-RU"/>
        </w:rPr>
        <w:t xml:space="preserve">9900075362 </w:t>
      </w:r>
      <w:r w:rsidR="00DE6F7F">
        <w:rPr>
          <w:bCs/>
          <w:color w:val="000000"/>
          <w:szCs w:val="28"/>
          <w:lang w:val="ru-RU"/>
        </w:rPr>
        <w:t xml:space="preserve">       Расходы на обеспечение деятельности  государс</w:t>
      </w:r>
      <w:r w:rsidR="00DE6F7F">
        <w:rPr>
          <w:bCs/>
          <w:color w:val="000000"/>
          <w:szCs w:val="28"/>
          <w:lang w:val="ru-RU"/>
        </w:rPr>
        <w:t>твенного (муниципального) учреждения, обеспечивающего бухгалтерское и хозяйственное  обслуживание  деятельности региональных (муниципальных) учреждений, осуществляющих деятельность в различных сферах;</w:t>
      </w:r>
    </w:p>
    <w:p w:rsidR="000C7256" w:rsidRDefault="00DE6F7F">
      <w:pPr>
        <w:pStyle w:val="ConsPlusNormal"/>
        <w:tabs>
          <w:tab w:val="left" w:pos="2520"/>
          <w:tab w:val="left" w:pos="834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9900043426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содержание и ремонт автомобильных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дорог муниципального значения;</w:t>
      </w:r>
    </w:p>
    <w:p w:rsidR="000C7256" w:rsidRDefault="00DE6F7F">
      <w:pPr>
        <w:pStyle w:val="ConsPlusNormal"/>
        <w:tabs>
          <w:tab w:val="left" w:pos="25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9900043446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Сбор и вывоз мусора и отходов, эксплуатация канализационных систем;</w:t>
      </w:r>
    </w:p>
    <w:p w:rsidR="000C7256" w:rsidRDefault="00DE6F7F">
      <w:pPr>
        <w:pStyle w:val="ConsPlusNormal"/>
        <w:tabs>
          <w:tab w:val="left" w:pos="2520"/>
          <w:tab w:val="left" w:pos="83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9900043600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Возмещение недополученных доходов субъектам хозяйствования, осуществляющим регулируемые государством виды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в сфере жилищн</w:t>
      </w:r>
      <w:r>
        <w:rPr>
          <w:rFonts w:ascii="Times New Roman" w:hAnsi="Times New Roman" w:cs="Times New Roman"/>
          <w:color w:val="000000"/>
          <w:sz w:val="28"/>
          <w:szCs w:val="28"/>
        </w:rPr>
        <w:t>о-коммунального хозяйства;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7256" w:rsidRDefault="00DE6F7F">
      <w:pPr>
        <w:pStyle w:val="ConsPlusNormal"/>
        <w:tabs>
          <w:tab w:val="left" w:pos="25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9900043416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благоустройство городов, сел, поселков;</w:t>
      </w:r>
    </w:p>
    <w:p w:rsidR="000C7256" w:rsidRDefault="00DE6F7F">
      <w:pPr>
        <w:pStyle w:val="ConsPlusNormal"/>
        <w:tabs>
          <w:tab w:val="left" w:pos="25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9900043456</w:t>
      </w:r>
      <w:r>
        <w:rPr>
          <w:rFonts w:ascii="Times New Roman" w:hAnsi="Times New Roman" w:cs="Times New Roman"/>
          <w:sz w:val="28"/>
          <w:szCs w:val="28"/>
        </w:rPr>
        <w:tab/>
        <w:t>Комбинаты коммунальных предприятий, районные производственные объединения и другие предприятия, учреждения и организации жилищно-коммунального хозяйства;</w:t>
      </w:r>
    </w:p>
    <w:p w:rsidR="000C7256" w:rsidRDefault="00DE6F7F">
      <w:pPr>
        <w:pStyle w:val="ConsPlusNormal"/>
        <w:tabs>
          <w:tab w:val="left" w:pos="252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9900010267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Образовательные организации (учреждения) дополнительного образования (реализация общеобразовательных программ дополнительного образования для детей и взрослых), мероприятия по внешкольной работе с детьми;</w:t>
      </w:r>
    </w:p>
    <w:p w:rsidR="000C7256" w:rsidRDefault="00DE6F7F">
      <w:pPr>
        <w:pStyle w:val="ConsPlusNormal"/>
        <w:tabs>
          <w:tab w:val="left" w:pos="252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9900010262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Филармонии, музыкальные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коллективы и ансамбли, и другие заведения искусства и мероприятия;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C7256" w:rsidRDefault="00DE6F7F">
      <w:pPr>
        <w:pStyle w:val="ConsPlusNormal"/>
        <w:tabs>
          <w:tab w:val="left" w:pos="252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9900010264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Библиотеки;</w:t>
      </w:r>
    </w:p>
    <w:p w:rsidR="000C7256" w:rsidRDefault="00DE6F7F">
      <w:pPr>
        <w:pStyle w:val="ConsPlusNormal"/>
        <w:tabs>
          <w:tab w:val="left" w:pos="28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9900010265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Музеи и выставки;</w:t>
      </w:r>
    </w:p>
    <w:p w:rsidR="000C7256" w:rsidRDefault="00DE6F7F">
      <w:pPr>
        <w:pStyle w:val="ConsPlusNormal"/>
        <w:tabs>
          <w:tab w:val="left" w:pos="28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9900010266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Дворцы и дома культуры, клубы и другие заведения клубного типа;</w:t>
      </w:r>
    </w:p>
    <w:p w:rsidR="000C7256" w:rsidRDefault="00DE6F7F">
      <w:pPr>
        <w:pStyle w:val="ConsPlusNormal"/>
        <w:tabs>
          <w:tab w:val="left" w:pos="28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9900014768   </w:t>
      </w:r>
      <w:r>
        <w:rPr>
          <w:rFonts w:ascii="Times New Roman" w:hAnsi="Times New Roman" w:cs="Times New Roman"/>
          <w:sz w:val="28"/>
          <w:szCs w:val="28"/>
        </w:rPr>
        <w:t>Помощь детям-сиротам и детям, лишенным ро</w:t>
      </w:r>
      <w:r>
        <w:rPr>
          <w:rFonts w:ascii="Times New Roman" w:hAnsi="Times New Roman" w:cs="Times New Roman"/>
          <w:sz w:val="28"/>
          <w:szCs w:val="28"/>
        </w:rPr>
        <w:t>дительской опеки, которым исполняется 18 лет;</w:t>
      </w:r>
    </w:p>
    <w:p w:rsidR="000C7256" w:rsidRDefault="00DE6F7F">
      <w:pPr>
        <w:pStyle w:val="ConsPlusNormal"/>
        <w:tabs>
          <w:tab w:val="left" w:pos="28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9900010461  </w:t>
      </w:r>
      <w:r>
        <w:rPr>
          <w:rFonts w:ascii="Times New Roman" w:hAnsi="Times New Roman" w:cs="Times New Roman"/>
          <w:sz w:val="28"/>
          <w:szCs w:val="28"/>
        </w:rPr>
        <w:t>Проведение учебно-тренировочных сборов и соревнований;</w:t>
      </w:r>
    </w:p>
    <w:p w:rsidR="000C7256" w:rsidRDefault="00DE6F7F">
      <w:pPr>
        <w:pStyle w:val="ConsPlusNormal"/>
        <w:tabs>
          <w:tab w:val="left" w:pos="22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9900010464  </w:t>
      </w:r>
      <w:r>
        <w:rPr>
          <w:rFonts w:ascii="Times New Roman" w:hAnsi="Times New Roman" w:cs="Times New Roman"/>
          <w:sz w:val="28"/>
          <w:szCs w:val="28"/>
        </w:rPr>
        <w:t>Проведение мероприятий по нетрадиционным видам спорта и  массовых мероприятий по физической культуре;</w:t>
      </w:r>
    </w:p>
    <w:p w:rsidR="000C7256" w:rsidRDefault="00DE6F7F">
      <w:pPr>
        <w:pStyle w:val="ConsPlusNormal"/>
        <w:tabs>
          <w:tab w:val="left" w:pos="22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9900010465 </w:t>
      </w:r>
      <w:r>
        <w:rPr>
          <w:rFonts w:ascii="Times New Roman" w:hAnsi="Times New Roman" w:cs="Times New Roman"/>
          <w:sz w:val="28"/>
          <w:szCs w:val="28"/>
        </w:rPr>
        <w:t>Содержание и учебн</w:t>
      </w:r>
      <w:r>
        <w:rPr>
          <w:rFonts w:ascii="Times New Roman" w:hAnsi="Times New Roman" w:cs="Times New Roman"/>
          <w:sz w:val="28"/>
          <w:szCs w:val="28"/>
        </w:rPr>
        <w:t>о-тренировочная работа детско-юношеских спортивных школ;</w:t>
      </w:r>
    </w:p>
    <w:p w:rsidR="000C7256" w:rsidRDefault="00DE6F7F">
      <w:pPr>
        <w:pStyle w:val="ConsPlusNormal"/>
        <w:tabs>
          <w:tab w:val="left" w:pos="22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9900010466  </w:t>
      </w:r>
      <w:r>
        <w:rPr>
          <w:rFonts w:ascii="Times New Roman" w:hAnsi="Times New Roman" w:cs="Times New Roman"/>
          <w:sz w:val="28"/>
          <w:szCs w:val="28"/>
        </w:rPr>
        <w:t>Финансовая поддержка и содержание спортивных сооружений;</w:t>
      </w:r>
    </w:p>
    <w:p w:rsidR="000C7256" w:rsidRDefault="00DE6F7F">
      <w:pPr>
        <w:pStyle w:val="ConsPlusNormal"/>
        <w:tabs>
          <w:tab w:val="left" w:pos="22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9900004000   </w:t>
      </w:r>
      <w:r>
        <w:rPr>
          <w:rFonts w:ascii="Times New Roman" w:hAnsi="Times New Roman" w:cs="Times New Roman"/>
          <w:sz w:val="28"/>
          <w:szCs w:val="28"/>
        </w:rPr>
        <w:t>Дорожный фонд;</w:t>
      </w:r>
    </w:p>
    <w:p w:rsidR="000C7256" w:rsidRDefault="00DE6F7F">
      <w:pPr>
        <w:pStyle w:val="ConsPlusNormal"/>
        <w:tabs>
          <w:tab w:val="left" w:pos="22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990И454240   </w:t>
      </w:r>
      <w:r>
        <w:rPr>
          <w:rFonts w:ascii="Times New Roman" w:hAnsi="Times New Roman" w:cs="Times New Roman"/>
          <w:sz w:val="28"/>
          <w:szCs w:val="28"/>
        </w:rPr>
        <w:t>Создание комфортной городской среды в малых городах и исторических поселениях-победителях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лучших проектов создания комфортной городской среды;</w:t>
      </w:r>
    </w:p>
    <w:p w:rsidR="000C7256" w:rsidRDefault="00DE6F7F">
      <w:pPr>
        <w:pStyle w:val="ConsPlusNormal"/>
        <w:tabs>
          <w:tab w:val="left" w:pos="22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9900080404</w:t>
      </w:r>
      <w:r>
        <w:rPr>
          <w:rFonts w:ascii="Times New Roman" w:hAnsi="Times New Roman" w:cs="Times New Roman"/>
          <w:sz w:val="28"/>
          <w:szCs w:val="28"/>
        </w:rPr>
        <w:tab/>
        <w:t>Расходы на выполнение отдельных государственных полномочий Луганской Народной Республики по опеке, попечительству и патронаж;</w:t>
      </w:r>
    </w:p>
    <w:p w:rsidR="000C7256" w:rsidRDefault="00DE6F7F">
      <w:pPr>
        <w:pStyle w:val="ConsPlusNormal"/>
        <w:tabs>
          <w:tab w:val="left" w:pos="22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9900080405 </w:t>
      </w:r>
      <w:r>
        <w:rPr>
          <w:rFonts w:ascii="Times New Roman" w:hAnsi="Times New Roman" w:cs="Times New Roman"/>
          <w:sz w:val="28"/>
          <w:szCs w:val="28"/>
        </w:rPr>
        <w:t>Расходы на выполнение отдельны</w:t>
      </w:r>
      <w:r>
        <w:rPr>
          <w:rFonts w:ascii="Times New Roman" w:hAnsi="Times New Roman" w:cs="Times New Roman"/>
          <w:sz w:val="28"/>
          <w:szCs w:val="28"/>
        </w:rPr>
        <w:t xml:space="preserve">х государственных полномочий Луганской Народной Республики по созданию и организации деятельности городских, районных комиссий по делам несовершеннолетних и защите их прав в Луганской Народной Республике;              </w:t>
      </w: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0C7256" w:rsidRDefault="00D93C9C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E6F7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C7256" w:rsidRDefault="00DE6F7F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финанс</w:t>
      </w:r>
      <w:r>
        <w:rPr>
          <w:rFonts w:ascii="Times New Roman" w:hAnsi="Times New Roman"/>
          <w:sz w:val="28"/>
          <w:szCs w:val="28"/>
        </w:rPr>
        <w:t xml:space="preserve">ового управления Администрации  городского округа муниципальное образование городской округ </w:t>
      </w:r>
    </w:p>
    <w:p w:rsidR="000C7256" w:rsidRDefault="00DE6F7F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Красный Луч </w:t>
      </w:r>
    </w:p>
    <w:p w:rsidR="000C7256" w:rsidRDefault="00DE6F7F">
      <w:pPr>
        <w:spacing w:after="0" w:line="36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Луганской Народной Республики       </w:t>
      </w:r>
    </w:p>
    <w:p w:rsidR="000C7256" w:rsidRDefault="00DE6F7F">
      <w:pPr>
        <w:spacing w:after="0" w:line="360" w:lineRule="auto"/>
        <w:ind w:left="410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«02»декабря 2024 года № 81/24</w:t>
      </w:r>
      <w:r>
        <w:rPr>
          <w:rFonts w:ascii="Times New Roman" w:hAnsi="Times New Roman"/>
          <w:sz w:val="28"/>
          <w:szCs w:val="28"/>
        </w:rPr>
        <w:tab/>
      </w:r>
    </w:p>
    <w:p w:rsidR="000C7256" w:rsidRDefault="000C7256">
      <w:pPr>
        <w:pStyle w:val="ConsPlusNormal"/>
        <w:spacing w:line="36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781"/>
      <w:bookmarkEnd w:id="1"/>
      <w:r>
        <w:rPr>
          <w:rFonts w:ascii="Times New Roman" w:hAnsi="Times New Roman" w:cs="Times New Roman"/>
          <w:sz w:val="28"/>
          <w:szCs w:val="28"/>
        </w:rPr>
        <w:t xml:space="preserve">Коды главных администраторов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городской округ город Красный Луч Луганской Народной Республики – органов местного самоуправления, органов местной администрации</w:t>
      </w:r>
    </w:p>
    <w:p w:rsidR="000C7256" w:rsidRDefault="000C7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31"/>
        <w:gridCol w:w="7939"/>
      </w:tblGrid>
      <w:tr w:rsidR="000C7256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0C7256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0C7256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</w:tbl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D93C9C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6F7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C7256" w:rsidRDefault="00DE6F7F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финансового управления Администрации  городского округа муниципальное образование городской округ </w:t>
      </w:r>
    </w:p>
    <w:p w:rsidR="000C7256" w:rsidRDefault="00DE6F7F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Красный Луч </w:t>
      </w:r>
    </w:p>
    <w:p w:rsidR="000C7256" w:rsidRDefault="00DE6F7F">
      <w:pPr>
        <w:spacing w:after="0" w:line="36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Луганской Народной Республики       </w:t>
      </w:r>
    </w:p>
    <w:p w:rsidR="000C7256" w:rsidRDefault="00DE6F7F">
      <w:pPr>
        <w:spacing w:after="0" w:line="360" w:lineRule="auto"/>
        <w:ind w:left="410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«02»декабря 2024 года № 81/24</w:t>
      </w: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Коды главных распорядителей средств бюд</w:t>
      </w:r>
      <w:r>
        <w:rPr>
          <w:rFonts w:ascii="Times New Roman" w:hAnsi="Times New Roman" w:cs="Times New Roman"/>
          <w:sz w:val="28"/>
          <w:szCs w:val="28"/>
        </w:rPr>
        <w:t>жета муниципального образования городской округ город Красный Луч Луганской Народной Республики</w:t>
      </w:r>
    </w:p>
    <w:p w:rsidR="000C7256" w:rsidRDefault="000C725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31"/>
        <w:gridCol w:w="7939"/>
      </w:tblGrid>
      <w:tr w:rsidR="000C7256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  <w:tr w:rsidR="000C7256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муниципальное образование городской округ город Красный Луч Луганской Народной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</w:t>
            </w:r>
          </w:p>
        </w:tc>
      </w:tr>
      <w:tr w:rsidR="000C7256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0C7256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городского округа муниципальное образование городской округ город Красный Луч </w:t>
            </w:r>
            <w:r>
              <w:rPr>
                <w:rFonts w:ascii="Times New Roman" w:hAnsi="Times New Roman"/>
                <w:sz w:val="28"/>
                <w:szCs w:val="28"/>
              </w:rPr>
              <w:t>Луганской Народной Республики</w:t>
            </w:r>
          </w:p>
        </w:tc>
      </w:tr>
    </w:tbl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D93C9C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E6F7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C7256" w:rsidRDefault="00DE6F7F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финансового управления Администрации  городского округа муниципальное образование городской округ </w:t>
      </w:r>
    </w:p>
    <w:p w:rsidR="000C7256" w:rsidRDefault="00DE6F7F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Красный Луч </w:t>
      </w:r>
    </w:p>
    <w:p w:rsidR="000C7256" w:rsidRDefault="00DE6F7F">
      <w:pPr>
        <w:spacing w:after="0" w:line="36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Луганской Народной Республики       </w:t>
      </w:r>
    </w:p>
    <w:p w:rsidR="000C7256" w:rsidRDefault="00DE6F7F">
      <w:pPr>
        <w:spacing w:after="0" w:line="360" w:lineRule="auto"/>
        <w:ind w:left="410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«02»декабря 2024 года № 81/24</w:t>
      </w: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бюджета муниципального образования городской округ город Красный Луч Луганской Народной Республики</w:t>
      </w: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7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836"/>
        <w:gridCol w:w="7803"/>
      </w:tblGrid>
      <w:tr w:rsidR="000C7256">
        <w:trPr>
          <w:trHeight w:val="209"/>
          <w:tblHeader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tabs>
                <w:tab w:val="left" w:pos="621"/>
                <w:tab w:val="left" w:pos="1046"/>
              </w:tabs>
              <w:spacing w:after="0" w:line="240" w:lineRule="auto"/>
              <w:ind w:left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9900060461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Расходы на обеспечение выполнения функций  Советом городского округа  муниципальное образование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городской округ город Красный Луч Луганской Народной Республики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9900060462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выполнения функций  Администрацией  городского округа муници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пальное образование городской округ город Красный Луч Луганской Народной Республики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9900060463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Главы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образование городской округ город Красный Луч Луганской Народной Республики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9900060464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выполнения функций Финансовым управлением Администрации городского округа муниципальное образование городской округ город Красный Луч Луганской Народной Республики;</w:t>
            </w:r>
          </w:p>
          <w:p w:rsidR="000C7256" w:rsidRDefault="000C7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9900023166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Расходы на приобретение услуг по предоставле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9900075361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Прочие расходы, не отнесенные к основным группам, предусмотренные для выполнения поручений не по основному виду деятельно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сти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9900075362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pStyle w:val="a7"/>
              <w:jc w:val="left"/>
              <w:rPr>
                <w:szCs w:val="28"/>
                <w:lang w:val="ru-RU"/>
              </w:rPr>
            </w:pPr>
            <w:r>
              <w:rPr>
                <w:bCs/>
                <w:color w:val="000000"/>
                <w:szCs w:val="28"/>
                <w:lang w:val="ru-RU"/>
              </w:rPr>
              <w:t xml:space="preserve">Расходы на обеспечение деятельности государственного (муниципального) учреждения, обеспечивающего бухгалтерское и хозяйственное  обслуживание  деятельности </w:t>
            </w:r>
            <w:r>
              <w:rPr>
                <w:bCs/>
                <w:color w:val="000000"/>
                <w:szCs w:val="28"/>
                <w:lang w:val="ru-RU"/>
              </w:rPr>
              <w:lastRenderedPageBreak/>
              <w:t>региональных (муниципальных) учреждений, осуществляющих деятельность в различных сфе</w:t>
            </w:r>
            <w:r>
              <w:rPr>
                <w:bCs/>
                <w:color w:val="000000"/>
                <w:szCs w:val="28"/>
                <w:lang w:val="ru-RU"/>
              </w:rPr>
              <w:t>рах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9900043426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на содержание и ремонт автомобильных  дорог муниципального значения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9900043446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Сбор и вывоз мусора и отходов, эксплуатацию канализационных систем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9900043600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Возмещение недополученных доходов субъектам хозяйствования,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осуществляющим регулируемые государством виды деятельности в сфере жилищно-коммунального хозяйства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9900043416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на благоустройство городов, сел, поселков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9900043456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Комбинаты коммунальных предприятий, районные производственные объединения и другие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предприятия, учреждения и организации жилищно-коммунального хозяйства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9900010267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Образовательные организации (учреждения) дополнительного образования (реализация общеобразовательных программ дополнительного образования для детей и взрослых), мероприятия 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внешкольной работе с детьми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9900010262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pStyle w:val="a7"/>
              <w:jc w:val="left"/>
              <w:rPr>
                <w:i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Филармонии, музыкальные коллективы и ансамбли, и другие заведения искусства и мероприятия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9900010264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Библиотеки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9900010265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Музеи и выставки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9900010266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Дворцы и дома культуры, клубы и другие заведения клубного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типа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9900014768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Помощь детям-сиротам и детям, лишенным родительской опеки, которым исполняется 18 лет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9900010461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учебно-тренировочных сборов и соревнований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9900010464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мероприятий по нетрадиционным видам спорта и  массовых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 по физической культуре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9900010465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 учебно-тренировочная работа детско-юношеских спортивных школ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9900010466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Финансовая поддержка и содержание спортивных сооружений</w:t>
            </w:r>
          </w:p>
        </w:tc>
      </w:tr>
      <w:tr w:rsidR="000C7256">
        <w:trPr>
          <w:trHeight w:val="38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9900002760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 Красный Луч Луганской Народной Республики</w:t>
            </w:r>
          </w:p>
          <w:p w:rsidR="000C7256" w:rsidRDefault="000C7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0C72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990И454240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pStyle w:val="ConsPlusNormal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комфортной городской среды в малых городах и исторических поселениях-победителях Всероссийского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 лучших проектов создания комфортной городской среды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9900004000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pStyle w:val="ConsPlusNormal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фонд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9900080404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Расходы на выполнение отдельных государственных полномочий Луганской Народной Республики по опеке, попечительству и патронажу</w:t>
            </w:r>
          </w:p>
        </w:tc>
      </w:tr>
      <w:tr w:rsidR="000C725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9900080405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Расходы на выполнение отдельных государственных полномочий Луганской Народной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Республики по созданию и организации деятельности городских, районных комиссий по делам несовершеннолетних и защите их прав в Луганской Народной Республике</w:t>
            </w:r>
          </w:p>
        </w:tc>
      </w:tr>
    </w:tbl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D93C9C" w:rsidRDefault="00D93C9C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D93C9C" w:rsidRDefault="00D93C9C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D93C9C" w:rsidRDefault="00D93C9C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D93C9C" w:rsidRDefault="00D93C9C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D93C9C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E6F7F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C7256" w:rsidRDefault="00DE6F7F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финансового управления Администрации  городского округа муниципальное образование городской округ </w:t>
      </w:r>
    </w:p>
    <w:p w:rsidR="000C7256" w:rsidRDefault="00DE6F7F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Красный Луч </w:t>
      </w:r>
    </w:p>
    <w:p w:rsidR="000C7256" w:rsidRDefault="00DE6F7F">
      <w:pPr>
        <w:spacing w:after="0" w:line="36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Луганской Народной Республики       </w:t>
      </w:r>
    </w:p>
    <w:p w:rsidR="000C7256" w:rsidRDefault="00DE6F7F">
      <w:pPr>
        <w:spacing w:after="0" w:line="360" w:lineRule="auto"/>
        <w:ind w:left="410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«02»декабря 2024 года № 81/24</w:t>
      </w:r>
      <w:r>
        <w:rPr>
          <w:rFonts w:ascii="Times New Roman" w:hAnsi="Times New Roman"/>
          <w:sz w:val="28"/>
          <w:szCs w:val="28"/>
        </w:rPr>
        <w:tab/>
      </w:r>
    </w:p>
    <w:p w:rsidR="000C7256" w:rsidRDefault="000C7256">
      <w:pPr>
        <w:pStyle w:val="ConsPlusNormal"/>
        <w:spacing w:line="36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коды целевых статей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Республики, финансовое обеспечение которых осуществляется в форме межбюджетных трансфертов из других бюджетов бюджетной системы Российской Федерации, имеющих целевое назначение</w:t>
      </w:r>
    </w:p>
    <w:p w:rsidR="000C7256" w:rsidRDefault="000C7256">
      <w:pPr>
        <w:tabs>
          <w:tab w:val="left" w:pos="5585"/>
        </w:tabs>
        <w:spacing w:after="200"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Style w:val="af2"/>
        <w:tblW w:w="9776" w:type="dxa"/>
        <w:tblInd w:w="113" w:type="dxa"/>
        <w:tblLayout w:type="fixed"/>
        <w:tblLook w:val="04A0"/>
      </w:tblPr>
      <w:tblGrid>
        <w:gridCol w:w="2023"/>
        <w:gridCol w:w="7753"/>
      </w:tblGrid>
      <w:tr w:rsidR="000C7256">
        <w:trPr>
          <w:trHeight w:val="415"/>
        </w:trPr>
        <w:tc>
          <w:tcPr>
            <w:tcW w:w="2023" w:type="dxa"/>
            <w:vAlign w:val="center"/>
          </w:tcPr>
          <w:p w:rsidR="000C7256" w:rsidRDefault="00DE6F7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752" w:type="dxa"/>
            <w:vAlign w:val="center"/>
          </w:tcPr>
          <w:p w:rsidR="000C7256" w:rsidRDefault="00DE6F7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целевой статьи</w:t>
            </w:r>
          </w:p>
        </w:tc>
      </w:tr>
      <w:tr w:rsidR="000C7256">
        <w:tc>
          <w:tcPr>
            <w:tcW w:w="2023" w:type="dxa"/>
            <w:vAlign w:val="center"/>
          </w:tcPr>
          <w:p w:rsidR="000C7256" w:rsidRDefault="00DE6F7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И4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54240</w:t>
            </w:r>
          </w:p>
        </w:tc>
        <w:tc>
          <w:tcPr>
            <w:tcW w:w="7752" w:type="dxa"/>
            <w:shd w:val="clear" w:color="auto" w:fill="auto"/>
            <w:vAlign w:val="center"/>
          </w:tcPr>
          <w:p w:rsidR="000C7256" w:rsidRDefault="00DE6F7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</w:tr>
    </w:tbl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DE6F7F">
      <w:pPr>
        <w:pStyle w:val="ConsPlusNormal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0C7256" w:rsidRDefault="00DE6F7F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финансового управления Администрации  городского округа муниципальное образование городской округ </w:t>
      </w:r>
    </w:p>
    <w:p w:rsidR="000C7256" w:rsidRDefault="00DE6F7F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Красный Луч </w:t>
      </w:r>
    </w:p>
    <w:p w:rsidR="000C7256" w:rsidRDefault="00DE6F7F">
      <w:pPr>
        <w:spacing w:after="0" w:line="36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Луганской Народной Республики       </w:t>
      </w:r>
    </w:p>
    <w:p w:rsidR="000C7256" w:rsidRDefault="00DE6F7F">
      <w:pPr>
        <w:spacing w:after="0" w:line="360" w:lineRule="auto"/>
        <w:ind w:left="410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«02»декабря 2024 года № 81/24</w:t>
      </w:r>
    </w:p>
    <w:p w:rsidR="000C7256" w:rsidRDefault="000C7256">
      <w:pPr>
        <w:pStyle w:val="ConsPlusNormal"/>
        <w:spacing w:line="360" w:lineRule="auto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7256" w:rsidRDefault="00DE6F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Коды главных администраторов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дефицита бюджета муниципального образования городской округ город Красный Луч Луганской Народной Республики</w:t>
      </w:r>
    </w:p>
    <w:p w:rsidR="000C7256" w:rsidRDefault="000C725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31"/>
        <w:gridCol w:w="7939"/>
      </w:tblGrid>
      <w:tr w:rsidR="000C7256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  <w:tr w:rsidR="000C7256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муниципальное образование городской округ город Красный Луч </w:t>
            </w:r>
            <w:r>
              <w:rPr>
                <w:rFonts w:ascii="Times New Roman" w:hAnsi="Times New Roman"/>
                <w:sz w:val="28"/>
                <w:szCs w:val="28"/>
              </w:rPr>
              <w:t>Луганской Народной Республики</w:t>
            </w:r>
          </w:p>
        </w:tc>
      </w:tr>
      <w:tr w:rsidR="000C7256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256" w:rsidRDefault="00DE6F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256" w:rsidRDefault="00DE6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</w:tbl>
    <w:p w:rsidR="000C7256" w:rsidRDefault="000C72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256" w:rsidRDefault="000C7256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0C7256" w:rsidRDefault="000C7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256" w:rsidRDefault="000C7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256" w:rsidRDefault="000C7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256" w:rsidRDefault="000C7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256" w:rsidRDefault="000C7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C7256" w:rsidSect="000C7256">
      <w:headerReference w:type="default" r:id="rId9"/>
      <w:headerReference w:type="first" r:id="rId10"/>
      <w:pgSz w:w="11906" w:h="16838"/>
      <w:pgMar w:top="851" w:right="850" w:bottom="1134" w:left="1701" w:header="0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7F" w:rsidRDefault="00DE6F7F" w:rsidP="000C7256">
      <w:pPr>
        <w:spacing w:after="0" w:line="240" w:lineRule="auto"/>
      </w:pPr>
      <w:r>
        <w:separator/>
      </w:r>
    </w:p>
  </w:endnote>
  <w:endnote w:type="continuationSeparator" w:id="1">
    <w:p w:rsidR="00DE6F7F" w:rsidRDefault="00DE6F7F" w:rsidP="000C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7F" w:rsidRDefault="00DE6F7F" w:rsidP="000C7256">
      <w:pPr>
        <w:spacing w:after="0" w:line="240" w:lineRule="auto"/>
      </w:pPr>
      <w:r>
        <w:separator/>
      </w:r>
    </w:p>
  </w:footnote>
  <w:footnote w:type="continuationSeparator" w:id="1">
    <w:p w:rsidR="00DE6F7F" w:rsidRDefault="00DE6F7F" w:rsidP="000C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153561"/>
      <w:docPartObj>
        <w:docPartGallery w:val="Page Numbers (Top of Page)"/>
        <w:docPartUnique/>
      </w:docPartObj>
    </w:sdtPr>
    <w:sdtContent>
      <w:p w:rsidR="000C7256" w:rsidRDefault="000C7256">
        <w:pPr>
          <w:pStyle w:val="Header"/>
          <w:jc w:val="center"/>
        </w:pPr>
        <w:r>
          <w:fldChar w:fldCharType="begin"/>
        </w:r>
        <w:r w:rsidR="00DE6F7F">
          <w:instrText xml:space="preserve"> PAGE </w:instrText>
        </w:r>
        <w:r>
          <w:fldChar w:fldCharType="separate"/>
        </w:r>
        <w:r w:rsidR="00D93C9C">
          <w:rPr>
            <w:noProof/>
          </w:rPr>
          <w:t>2</w:t>
        </w:r>
        <w:r>
          <w:fldChar w:fldCharType="end"/>
        </w:r>
      </w:p>
      <w:p w:rsidR="000C7256" w:rsidRDefault="000C7256">
        <w:pPr>
          <w:pStyle w:val="Head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56" w:rsidRDefault="000C7256">
    <w:pPr>
      <w:pStyle w:val="Header"/>
    </w:pPr>
  </w:p>
  <w:p w:rsidR="000C7256" w:rsidRDefault="000C7256">
    <w:pPr>
      <w:pStyle w:val="Header"/>
    </w:pPr>
  </w:p>
  <w:p w:rsidR="000C7256" w:rsidRDefault="00D93C9C">
    <w:pPr>
      <w:pStyle w:val="Header"/>
    </w:pPr>
    <w:r>
      <w:rPr>
        <w:noProof/>
        <w:lang w:eastAsia="ru-RU"/>
      </w:rPr>
      <w:t xml:space="preserve">                                                                             </w:t>
    </w:r>
    <w:r w:rsidR="00DE6F7F">
      <w:rPr>
        <w:noProof/>
        <w:lang w:eastAsia="ru-RU"/>
      </w:rPr>
      <w:drawing>
        <wp:inline distT="0" distB="0" distL="0" distR="0">
          <wp:extent cx="523240" cy="653415"/>
          <wp:effectExtent l="0" t="0" r="0" b="0"/>
          <wp:docPr id="1" name="Рисунок 4" descr="Герб цв для положен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4" descr="Герб цв для положени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286" r="51746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56" w:rsidRDefault="000C7256">
    <w:pPr>
      <w:pStyle w:val="Header"/>
      <w:jc w:val="center"/>
    </w:pPr>
    <w:r>
      <w:fldChar w:fldCharType="begin"/>
    </w:r>
    <w:r w:rsidR="00DE6F7F">
      <w:instrText xml:space="preserve"> PAGE </w:instrText>
    </w:r>
    <w:r>
      <w:fldChar w:fldCharType="separate"/>
    </w:r>
    <w:r w:rsidR="00D02EBE">
      <w:rPr>
        <w:noProof/>
      </w:rPr>
      <w:t>8</w:t>
    </w:r>
    <w:r>
      <w:fldChar w:fldCharType="end"/>
    </w:r>
  </w:p>
  <w:p w:rsidR="000C7256" w:rsidRDefault="000C725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56" w:rsidRDefault="000C7256">
    <w:pPr>
      <w:pStyle w:val="Header"/>
    </w:pPr>
  </w:p>
  <w:p w:rsidR="000C7256" w:rsidRDefault="000C7256">
    <w:pPr>
      <w:pStyle w:val="Header"/>
    </w:pPr>
  </w:p>
  <w:p w:rsidR="000C7256" w:rsidRDefault="000C72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256"/>
    <w:rsid w:val="000C7256"/>
    <w:rsid w:val="00D02EBE"/>
    <w:rsid w:val="00D93C9C"/>
    <w:rsid w:val="00DE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12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2360B2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E07712"/>
    <w:rPr>
      <w:rFonts w:ascii="Calibri" w:eastAsia="Times New Roman" w:hAnsi="Calibri" w:cs="Times New Roman"/>
    </w:rPr>
  </w:style>
  <w:style w:type="character" w:customStyle="1" w:styleId="a4">
    <w:name w:val="Текст сноски Знак"/>
    <w:basedOn w:val="a0"/>
    <w:link w:val="FootnoteText"/>
    <w:uiPriority w:val="99"/>
    <w:semiHidden/>
    <w:qFormat/>
    <w:rsid w:val="00E07712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Символ сноски"/>
    <w:uiPriority w:val="99"/>
    <w:semiHidden/>
    <w:qFormat/>
    <w:rsid w:val="00E07712"/>
    <w:rPr>
      <w:rFonts w:cs="Times New Roman"/>
      <w:vertAlign w:val="superscript"/>
    </w:rPr>
  </w:style>
  <w:style w:type="character" w:customStyle="1" w:styleId="FootnoteReference">
    <w:name w:val="Footnote Reference"/>
    <w:rsid w:val="000C7256"/>
    <w:rPr>
      <w:rFonts w:cs="Times New Roman"/>
      <w:vertAlign w:val="superscript"/>
    </w:rPr>
  </w:style>
  <w:style w:type="character" w:customStyle="1" w:styleId="a6">
    <w:name w:val="Структурные элементы Знак"/>
    <w:link w:val="a7"/>
    <w:qFormat/>
    <w:locked/>
    <w:rsid w:val="00E07712"/>
    <w:rPr>
      <w:rFonts w:ascii="Times New Roman" w:eastAsia="Calibri" w:hAnsi="Times New Roman" w:cs="Times New Roman"/>
      <w:sz w:val="28"/>
      <w:szCs w:val="24"/>
      <w:lang w:val="en-US" w:eastAsia="ru-RU"/>
    </w:rPr>
  </w:style>
  <w:style w:type="character" w:styleId="a8">
    <w:name w:val="page number"/>
    <w:basedOn w:val="a0"/>
    <w:qFormat/>
    <w:rsid w:val="00E07712"/>
  </w:style>
  <w:style w:type="character" w:customStyle="1" w:styleId="a9">
    <w:name w:val="Нижний колонтитул Знак"/>
    <w:basedOn w:val="a0"/>
    <w:link w:val="Footer"/>
    <w:uiPriority w:val="99"/>
    <w:qFormat/>
    <w:rsid w:val="000F2779"/>
    <w:rPr>
      <w:rFonts w:ascii="Calibri" w:eastAsia="Times New Roman" w:hAnsi="Calibri" w:cs="Times New Roman"/>
    </w:rPr>
  </w:style>
  <w:style w:type="character" w:customStyle="1" w:styleId="1">
    <w:name w:val="Заголовок 1 Знак"/>
    <w:basedOn w:val="a0"/>
    <w:link w:val="Heading1"/>
    <w:uiPriority w:val="9"/>
    <w:qFormat/>
    <w:rsid w:val="00236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72756F"/>
    <w:rPr>
      <w:rFonts w:ascii="Tahoma" w:eastAsia="Times New Roman" w:hAnsi="Tahoma" w:cs="Tahoma"/>
      <w:sz w:val="16"/>
      <w:szCs w:val="16"/>
    </w:rPr>
  </w:style>
  <w:style w:type="paragraph" w:customStyle="1" w:styleId="ac">
    <w:name w:val="Заголовок"/>
    <w:basedOn w:val="a"/>
    <w:next w:val="ad"/>
    <w:qFormat/>
    <w:rsid w:val="000C725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0C7256"/>
    <w:pPr>
      <w:spacing w:after="140" w:line="276" w:lineRule="auto"/>
    </w:pPr>
  </w:style>
  <w:style w:type="paragraph" w:styleId="ae">
    <w:name w:val="List"/>
    <w:basedOn w:val="ad"/>
    <w:rsid w:val="000C725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C725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0C7256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E07712"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ConsPlusTitle">
    <w:name w:val="ConsPlusTitle"/>
    <w:qFormat/>
    <w:rsid w:val="00E07712"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TitlePage">
    <w:name w:val="ConsPlusTitlePage"/>
    <w:qFormat/>
    <w:rsid w:val="00E07712"/>
    <w:pPr>
      <w:widowControl w:val="0"/>
    </w:pPr>
    <w:rPr>
      <w:rFonts w:ascii="Tahoma" w:hAnsi="Tahoma" w:cs="Tahoma"/>
      <w:sz w:val="20"/>
      <w:lang w:eastAsia="ru-RU"/>
    </w:rPr>
  </w:style>
  <w:style w:type="paragraph" w:customStyle="1" w:styleId="af0">
    <w:name w:val="Колонтитул"/>
    <w:basedOn w:val="a"/>
    <w:qFormat/>
    <w:rsid w:val="000C7256"/>
  </w:style>
  <w:style w:type="paragraph" w:customStyle="1" w:styleId="Header">
    <w:name w:val="Header"/>
    <w:basedOn w:val="a"/>
    <w:link w:val="a3"/>
    <w:uiPriority w:val="99"/>
    <w:rsid w:val="00E0771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noteText">
    <w:name w:val="Footnote Text"/>
    <w:basedOn w:val="a"/>
    <w:link w:val="a4"/>
    <w:uiPriority w:val="99"/>
    <w:semiHidden/>
    <w:rsid w:val="00E07712"/>
    <w:pPr>
      <w:spacing w:after="0" w:line="240" w:lineRule="auto"/>
    </w:pPr>
    <w:rPr>
      <w:sz w:val="20"/>
      <w:szCs w:val="20"/>
    </w:rPr>
  </w:style>
  <w:style w:type="paragraph" w:customStyle="1" w:styleId="a7">
    <w:name w:val="Структурные элементы"/>
    <w:basedOn w:val="a"/>
    <w:link w:val="a6"/>
    <w:qFormat/>
    <w:rsid w:val="00E07712"/>
    <w:pPr>
      <w:widowControl w:val="0"/>
      <w:spacing w:after="0" w:line="240" w:lineRule="auto"/>
      <w:jc w:val="center"/>
    </w:pPr>
    <w:rPr>
      <w:rFonts w:ascii="Times New Roman" w:eastAsia="Calibri" w:hAnsi="Times New Roman"/>
      <w:sz w:val="28"/>
      <w:szCs w:val="24"/>
      <w:lang w:val="en-US" w:eastAsia="ru-RU"/>
    </w:rPr>
  </w:style>
  <w:style w:type="paragraph" w:customStyle="1" w:styleId="Footer">
    <w:name w:val="Footer"/>
    <w:basedOn w:val="a"/>
    <w:link w:val="a9"/>
    <w:uiPriority w:val="99"/>
    <w:unhideWhenUsed/>
    <w:rsid w:val="000F277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Абзац списка с отступом"/>
    <w:basedOn w:val="a"/>
    <w:qFormat/>
    <w:rsid w:val="00AA3D8E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</w:rPr>
  </w:style>
  <w:style w:type="paragraph" w:styleId="ab">
    <w:name w:val="Balloon Text"/>
    <w:basedOn w:val="a"/>
    <w:link w:val="aa"/>
    <w:uiPriority w:val="99"/>
    <w:semiHidden/>
    <w:unhideWhenUsed/>
    <w:qFormat/>
    <w:rsid w:val="0072756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F4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0"/>
    <w:uiPriority w:val="99"/>
    <w:semiHidden/>
    <w:unhideWhenUsed/>
    <w:rsid w:val="00D9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D93C9C"/>
    <w:rPr>
      <w:rFonts w:eastAsia="Times New Roman" w:cs="Times New Roman"/>
    </w:rPr>
  </w:style>
  <w:style w:type="paragraph" w:styleId="af4">
    <w:name w:val="footer"/>
    <w:basedOn w:val="a"/>
    <w:link w:val="11"/>
    <w:uiPriority w:val="99"/>
    <w:semiHidden/>
    <w:unhideWhenUsed/>
    <w:rsid w:val="00D9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4"/>
    <w:uiPriority w:val="99"/>
    <w:semiHidden/>
    <w:rsid w:val="00D93C9C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9FF7-05B9-41AE-8A34-5D23D3AD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13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Юзер</cp:lastModifiedBy>
  <cp:revision>50</cp:revision>
  <cp:lastPrinted>2024-12-11T08:05:00Z</cp:lastPrinted>
  <dcterms:created xsi:type="dcterms:W3CDTF">2024-10-24T07:26:00Z</dcterms:created>
  <dcterms:modified xsi:type="dcterms:W3CDTF">2024-12-11T08:09:00Z</dcterms:modified>
  <dc:language>ru-RU</dc:language>
</cp:coreProperties>
</file>