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EE" w:rsidRDefault="00A03EA5" w:rsidP="00450B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 w:rsidRPr="00A03EA5">
        <w:rPr>
          <w:rFonts w:ascii="Times New Roman" w:eastAsia="Calibri" w:hAnsi="Times New Roman"/>
          <w:noProof/>
          <w:color w:val="000000"/>
          <w:sz w:val="32"/>
          <w:szCs w:val="32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7" cy="65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A5" w:rsidRDefault="00A03EA5" w:rsidP="00A03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A03EA5" w:rsidRPr="00A03EA5" w:rsidRDefault="00A03EA5" w:rsidP="00A03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03EA5" w:rsidRPr="00A03EA5" w:rsidRDefault="00A03EA5" w:rsidP="00A03E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A35C8" w:rsidRPr="006C1667" w:rsidRDefault="00AA35C8" w:rsidP="00AA35C8">
      <w:pPr>
        <w:pStyle w:val="ConsPlusTitle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AA35C8" w:rsidRPr="002005C4" w:rsidRDefault="00AA35C8" w:rsidP="00AA35C8">
      <w:pPr>
        <w:spacing w:after="0" w:line="240" w:lineRule="auto"/>
        <w:ind w:right="-284"/>
        <w:jc w:val="center"/>
        <w:rPr>
          <w:rFonts w:ascii="Times New Roman" w:eastAsia="Calibri" w:hAnsi="Times New Roman"/>
          <w:sz w:val="28"/>
          <w:szCs w:val="28"/>
        </w:rPr>
      </w:pPr>
    </w:p>
    <w:p w:rsidR="00AA35C8" w:rsidRPr="002005C4" w:rsidRDefault="00AA35C8" w:rsidP="00AA35C8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A35C8" w:rsidRPr="00566AD7" w:rsidRDefault="004C627A" w:rsidP="00AA3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66AD7">
        <w:rPr>
          <w:rFonts w:ascii="Times New Roman" w:hAnsi="Times New Roman"/>
          <w:sz w:val="28"/>
          <w:szCs w:val="28"/>
        </w:rPr>
        <w:t>16</w:t>
      </w:r>
      <w:r w:rsidR="00566AD7">
        <w:rPr>
          <w:rFonts w:ascii="Times New Roman" w:hAnsi="Times New Roman"/>
          <w:sz w:val="28"/>
          <w:szCs w:val="28"/>
        </w:rPr>
        <w:t xml:space="preserve"> </w:t>
      </w:r>
      <w:r w:rsidRPr="00566AD7">
        <w:rPr>
          <w:rFonts w:ascii="Times New Roman" w:hAnsi="Times New Roman"/>
          <w:sz w:val="28"/>
          <w:szCs w:val="28"/>
        </w:rPr>
        <w:t>сентября</w:t>
      </w:r>
      <w:r w:rsidR="00E91D1B">
        <w:rPr>
          <w:rFonts w:ascii="Times New Roman" w:hAnsi="Times New Roman"/>
          <w:sz w:val="28"/>
          <w:szCs w:val="28"/>
        </w:rPr>
        <w:t xml:space="preserve"> </w:t>
      </w:r>
      <w:r w:rsidR="00AA35C8">
        <w:rPr>
          <w:rFonts w:ascii="Times New Roman" w:eastAsia="Calibri" w:hAnsi="Times New Roman"/>
          <w:sz w:val="28"/>
          <w:szCs w:val="28"/>
        </w:rPr>
        <w:t>2024</w:t>
      </w:r>
      <w:r w:rsidR="00AA35C8" w:rsidRPr="006C1667">
        <w:rPr>
          <w:rFonts w:ascii="Times New Roman" w:eastAsia="Calibri" w:hAnsi="Times New Roman"/>
          <w:sz w:val="28"/>
          <w:szCs w:val="28"/>
        </w:rPr>
        <w:t xml:space="preserve"> г.</w:t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</w:r>
      <w:r w:rsidR="00AA35C8" w:rsidRPr="006C1667">
        <w:rPr>
          <w:rFonts w:ascii="Times New Roman" w:eastAsia="Calibri" w:hAnsi="Times New Roman"/>
          <w:sz w:val="28"/>
          <w:szCs w:val="28"/>
        </w:rPr>
        <w:tab/>
        <w:t>№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566AD7">
        <w:rPr>
          <w:rFonts w:ascii="Times New Roman" w:eastAsia="Calibri" w:hAnsi="Times New Roman"/>
          <w:sz w:val="28"/>
          <w:szCs w:val="28"/>
        </w:rPr>
        <w:t>П-320/24</w:t>
      </w:r>
    </w:p>
    <w:p w:rsidR="00AA35C8" w:rsidRPr="00FC168E" w:rsidRDefault="00AA35C8" w:rsidP="00AA35C8">
      <w:pPr>
        <w:tabs>
          <w:tab w:val="left" w:pos="9900"/>
          <w:tab w:val="left" w:pos="10080"/>
        </w:tabs>
        <w:spacing w:after="0" w:line="240" w:lineRule="auto"/>
        <w:ind w:right="-284"/>
        <w:jc w:val="center"/>
        <w:rPr>
          <w:rFonts w:ascii="Times New Roman" w:eastAsia="Calibri" w:hAnsi="Times New Roman"/>
          <w:sz w:val="28"/>
          <w:szCs w:val="28"/>
        </w:rPr>
      </w:pPr>
      <w:r w:rsidRPr="00FC168E">
        <w:rPr>
          <w:rFonts w:ascii="Times New Roman" w:eastAsia="Calibri" w:hAnsi="Times New Roman"/>
          <w:sz w:val="28"/>
          <w:szCs w:val="28"/>
        </w:rPr>
        <w:t>г. Красный Луч</w:t>
      </w:r>
    </w:p>
    <w:p w:rsidR="00804166" w:rsidRDefault="00804166" w:rsidP="0080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166" w:rsidRDefault="00804166" w:rsidP="0080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4166" w:rsidRPr="00804166" w:rsidRDefault="00804166" w:rsidP="00924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B18" w:rsidRDefault="00793EF5" w:rsidP="00713F2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lang w:eastAsia="en-US"/>
        </w:rPr>
      </w:pPr>
      <w:bookmarkStart w:id="0" w:name="_Hlk163137585"/>
      <w:r w:rsidRPr="00793EF5">
        <w:rPr>
          <w:rFonts w:ascii="Times New Roman" w:hAnsi="Times New Roman"/>
          <w:b/>
          <w:sz w:val="28"/>
          <w:lang w:eastAsia="en-US"/>
        </w:rPr>
        <w:t xml:space="preserve">Об утверждении </w:t>
      </w:r>
      <w:bookmarkStart w:id="1" w:name="_Hlk159854536"/>
      <w:r w:rsidR="00713F2E">
        <w:rPr>
          <w:rFonts w:ascii="Times New Roman" w:hAnsi="Times New Roman"/>
          <w:b/>
          <w:sz w:val="28"/>
          <w:lang w:eastAsia="en-US"/>
        </w:rPr>
        <w:t>Порядка разработки, корректировки, осуществления мониторинга и контроля реализации прогнозов социально-экономического развития</w:t>
      </w:r>
      <w:r w:rsidR="004E6858">
        <w:rPr>
          <w:rFonts w:ascii="Times New Roman" w:hAnsi="Times New Roman"/>
          <w:b/>
          <w:sz w:val="28"/>
          <w:lang w:eastAsia="en-US"/>
        </w:rPr>
        <w:t xml:space="preserve"> </w:t>
      </w:r>
      <w:r w:rsidR="00AA35C8">
        <w:rPr>
          <w:rFonts w:ascii="Times New Roman" w:hAnsi="Times New Roman"/>
          <w:b/>
          <w:sz w:val="28"/>
          <w:lang w:eastAsia="en-US"/>
        </w:rPr>
        <w:t>муниципально</w:t>
      </w:r>
      <w:r w:rsidR="005F329D">
        <w:rPr>
          <w:rFonts w:ascii="Times New Roman" w:hAnsi="Times New Roman"/>
          <w:b/>
          <w:sz w:val="28"/>
          <w:lang w:eastAsia="en-US"/>
        </w:rPr>
        <w:t>го</w:t>
      </w:r>
      <w:r w:rsidR="00AA35C8">
        <w:rPr>
          <w:rFonts w:ascii="Times New Roman" w:hAnsi="Times New Roman"/>
          <w:b/>
          <w:sz w:val="28"/>
          <w:lang w:eastAsia="en-US"/>
        </w:rPr>
        <w:t xml:space="preserve"> образовани</w:t>
      </w:r>
      <w:r w:rsidR="005F329D">
        <w:rPr>
          <w:rFonts w:ascii="Times New Roman" w:hAnsi="Times New Roman"/>
          <w:b/>
          <w:sz w:val="28"/>
          <w:lang w:eastAsia="en-US"/>
        </w:rPr>
        <w:t>я</w:t>
      </w:r>
      <w:r w:rsidR="00AA35C8">
        <w:rPr>
          <w:rFonts w:ascii="Times New Roman" w:hAnsi="Times New Roman"/>
          <w:b/>
          <w:sz w:val="28"/>
          <w:lang w:eastAsia="en-US"/>
        </w:rPr>
        <w:t xml:space="preserve"> городской округ город Красный Луч</w:t>
      </w:r>
      <w:r w:rsidR="005F329D">
        <w:rPr>
          <w:rFonts w:ascii="Times New Roman" w:hAnsi="Times New Roman"/>
          <w:b/>
          <w:sz w:val="28"/>
          <w:lang w:eastAsia="en-US"/>
        </w:rPr>
        <w:t xml:space="preserve"> </w:t>
      </w:r>
      <w:r w:rsidR="0047651A" w:rsidRPr="0047651A">
        <w:rPr>
          <w:rFonts w:ascii="Times New Roman" w:hAnsi="Times New Roman"/>
          <w:b/>
          <w:sz w:val="28"/>
          <w:lang w:eastAsia="en-US"/>
        </w:rPr>
        <w:t>Луганской Народной Республики</w:t>
      </w:r>
      <w:bookmarkEnd w:id="1"/>
    </w:p>
    <w:p w:rsidR="009B6EFE" w:rsidRPr="0047651A" w:rsidRDefault="009B6EFE" w:rsidP="00713F2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>на долгосрочный и среднесрочный периоды</w:t>
      </w:r>
    </w:p>
    <w:bookmarkEnd w:id="0"/>
    <w:p w:rsidR="00804166" w:rsidRDefault="00804166" w:rsidP="00C2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EA5" w:rsidRPr="00804166" w:rsidRDefault="00A03EA5" w:rsidP="00C2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190D" w:rsidRDefault="00392065" w:rsidP="009A7A94">
      <w:pPr>
        <w:pStyle w:val="a6"/>
        <w:spacing w:after="0" w:line="252" w:lineRule="auto"/>
        <w:ind w:left="0" w:firstLine="708"/>
        <w:jc w:val="both"/>
        <w:rPr>
          <w:rFonts w:ascii="Times New Roman" w:hAnsi="Times New Roman"/>
          <w:color w:val="332E2D"/>
          <w:sz w:val="28"/>
          <w:szCs w:val="28"/>
        </w:rPr>
      </w:pPr>
      <w:r w:rsidRPr="002F01C4">
        <w:rPr>
          <w:rFonts w:ascii="Times New Roman" w:hAnsi="Times New Roman"/>
          <w:color w:val="332E2D"/>
          <w:sz w:val="28"/>
          <w:szCs w:val="28"/>
        </w:rPr>
        <w:t>В соответствии с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о статьей </w:t>
      </w:r>
      <w:r w:rsidR="00DA262F">
        <w:rPr>
          <w:rFonts w:ascii="Times New Roman" w:hAnsi="Times New Roman"/>
          <w:color w:val="332E2D"/>
          <w:sz w:val="28"/>
          <w:szCs w:val="28"/>
        </w:rPr>
        <w:t xml:space="preserve">173 Бюджетного кодекса Российской Федерации, </w:t>
      </w:r>
      <w:r w:rsidR="000542D1" w:rsidRPr="002F01C4">
        <w:rPr>
          <w:rFonts w:ascii="Times New Roman" w:hAnsi="Times New Roman"/>
          <w:color w:val="332E2D"/>
          <w:sz w:val="28"/>
          <w:szCs w:val="28"/>
        </w:rPr>
        <w:t>Федеральн</w:t>
      </w:r>
      <w:r w:rsidR="00DA262F">
        <w:rPr>
          <w:rFonts w:ascii="Times New Roman" w:hAnsi="Times New Roman"/>
          <w:color w:val="332E2D"/>
          <w:sz w:val="28"/>
          <w:szCs w:val="28"/>
        </w:rPr>
        <w:t>ым</w:t>
      </w:r>
      <w:r w:rsidR="000542D1" w:rsidRPr="002F01C4">
        <w:rPr>
          <w:rFonts w:ascii="Times New Roman" w:hAnsi="Times New Roman"/>
          <w:color w:val="332E2D"/>
          <w:sz w:val="28"/>
          <w:szCs w:val="28"/>
        </w:rPr>
        <w:t xml:space="preserve"> закон</w:t>
      </w:r>
      <w:r w:rsidR="00DA262F">
        <w:rPr>
          <w:rFonts w:ascii="Times New Roman" w:hAnsi="Times New Roman"/>
          <w:color w:val="332E2D"/>
          <w:sz w:val="28"/>
          <w:szCs w:val="28"/>
        </w:rPr>
        <w:t>ом</w:t>
      </w:r>
      <w:r w:rsidR="000542D1" w:rsidRPr="002F01C4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от 2</w:t>
      </w:r>
      <w:r w:rsidR="009B6EFE">
        <w:rPr>
          <w:rFonts w:ascii="Times New Roman" w:hAnsi="Times New Roman"/>
          <w:color w:val="332E2D"/>
          <w:sz w:val="28"/>
          <w:szCs w:val="28"/>
        </w:rPr>
        <w:t>8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.0</w:t>
      </w:r>
      <w:r w:rsidR="009B6EFE">
        <w:rPr>
          <w:rFonts w:ascii="Times New Roman" w:hAnsi="Times New Roman"/>
          <w:color w:val="332E2D"/>
          <w:sz w:val="28"/>
          <w:szCs w:val="28"/>
        </w:rPr>
        <w:t>6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.201</w:t>
      </w:r>
      <w:r w:rsidR="009B6EFE">
        <w:rPr>
          <w:rFonts w:ascii="Times New Roman" w:hAnsi="Times New Roman"/>
          <w:color w:val="332E2D"/>
          <w:sz w:val="28"/>
          <w:szCs w:val="28"/>
        </w:rPr>
        <w:t>4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 xml:space="preserve"> № </w:t>
      </w:r>
      <w:r w:rsidR="009B6EFE">
        <w:rPr>
          <w:rFonts w:ascii="Times New Roman" w:hAnsi="Times New Roman"/>
          <w:color w:val="332E2D"/>
          <w:sz w:val="28"/>
          <w:szCs w:val="28"/>
        </w:rPr>
        <w:t>172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-ФЗ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«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О стратегическом планировании в Российской </w:t>
      </w:r>
      <w:r w:rsidR="00F66B18">
        <w:rPr>
          <w:rFonts w:ascii="Times New Roman" w:hAnsi="Times New Roman"/>
          <w:color w:val="332E2D"/>
          <w:sz w:val="28"/>
          <w:szCs w:val="28"/>
        </w:rPr>
        <w:t>Ф</w:t>
      </w:r>
      <w:r w:rsidR="009B6EFE">
        <w:rPr>
          <w:rFonts w:ascii="Times New Roman" w:hAnsi="Times New Roman"/>
          <w:color w:val="332E2D"/>
          <w:sz w:val="28"/>
          <w:szCs w:val="28"/>
        </w:rPr>
        <w:t>едерации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>»</w:t>
      </w:r>
      <w:r w:rsidR="00F66B18">
        <w:rPr>
          <w:rFonts w:ascii="Times New Roman" w:hAnsi="Times New Roman"/>
          <w:color w:val="332E2D"/>
          <w:sz w:val="28"/>
          <w:szCs w:val="28"/>
        </w:rPr>
        <w:t xml:space="preserve"> (редакция от 17.02.2023)</w:t>
      </w:r>
      <w:r w:rsidR="00793EF5" w:rsidRPr="002F01C4">
        <w:rPr>
          <w:rFonts w:ascii="Times New Roman" w:hAnsi="Times New Roman"/>
          <w:color w:val="332E2D"/>
          <w:sz w:val="28"/>
          <w:szCs w:val="28"/>
        </w:rPr>
        <w:t xml:space="preserve">, 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пунктом </w:t>
      </w:r>
      <w:r w:rsidR="00DA262F">
        <w:rPr>
          <w:rFonts w:ascii="Times New Roman" w:hAnsi="Times New Roman"/>
          <w:color w:val="332E2D"/>
          <w:sz w:val="28"/>
          <w:szCs w:val="28"/>
        </w:rPr>
        <w:t>3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 части </w:t>
      </w:r>
      <w:r w:rsidR="00DA262F">
        <w:rPr>
          <w:rFonts w:ascii="Times New Roman" w:hAnsi="Times New Roman"/>
          <w:color w:val="332E2D"/>
          <w:sz w:val="28"/>
          <w:szCs w:val="28"/>
        </w:rPr>
        <w:t>7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 статьи 7, частью 3 статьи 20 Закона Луганской Народной Республики от 15.02.2024 № 44-</w:t>
      </w:r>
      <w:r w:rsidR="009B6EFE">
        <w:rPr>
          <w:rFonts w:ascii="Times New Roman" w:hAnsi="Times New Roman"/>
          <w:color w:val="332E2D"/>
          <w:sz w:val="28"/>
          <w:szCs w:val="28"/>
          <w:lang w:val="en-US"/>
        </w:rPr>
        <w:t>I</w:t>
      </w:r>
      <w:r w:rsidR="009B6EFE">
        <w:rPr>
          <w:rFonts w:ascii="Times New Roman" w:hAnsi="Times New Roman"/>
          <w:color w:val="332E2D"/>
          <w:sz w:val="28"/>
          <w:szCs w:val="28"/>
        </w:rPr>
        <w:t xml:space="preserve"> «О стратегическом планировании в Луганской Народной Республике»,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0728EE">
        <w:rPr>
          <w:rFonts w:ascii="Times New Roman" w:hAnsi="Times New Roman"/>
          <w:color w:val="332E2D"/>
          <w:sz w:val="28"/>
          <w:szCs w:val="28"/>
        </w:rPr>
        <w:t>п</w:t>
      </w:r>
      <w:r w:rsidR="00FC4214">
        <w:rPr>
          <w:rFonts w:ascii="Times New Roman" w:hAnsi="Times New Roman"/>
          <w:color w:val="332E2D"/>
          <w:sz w:val="28"/>
          <w:szCs w:val="28"/>
        </w:rPr>
        <w:t>одпунктом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FC4214">
        <w:rPr>
          <w:rFonts w:ascii="Times New Roman" w:hAnsi="Times New Roman"/>
          <w:color w:val="332E2D"/>
          <w:sz w:val="28"/>
          <w:szCs w:val="28"/>
        </w:rPr>
        <w:t>9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пункта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4.7.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раздела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4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Положения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>
        <w:rPr>
          <w:rFonts w:ascii="Times New Roman" w:hAnsi="Times New Roman"/>
          <w:color w:val="332E2D"/>
          <w:sz w:val="28"/>
          <w:szCs w:val="28"/>
        </w:rPr>
        <w:t>об</w:t>
      </w:r>
      <w:r w:rsidR="00F66B18">
        <w:rPr>
          <w:rFonts w:ascii="Times New Roman" w:hAnsi="Times New Roman"/>
          <w:color w:val="332E2D"/>
          <w:sz w:val="28"/>
          <w:szCs w:val="28"/>
        </w:rPr>
        <w:t> 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 xml:space="preserve">Администрации </w:t>
      </w:r>
      <w:r w:rsidR="00FC4214">
        <w:rPr>
          <w:rFonts w:ascii="Times New Roman" w:hAnsi="Times New Roman"/>
          <w:color w:val="332E2D"/>
          <w:sz w:val="28"/>
          <w:szCs w:val="28"/>
        </w:rPr>
        <w:t xml:space="preserve">городского округа 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>муниципально</w:t>
      </w:r>
      <w:r w:rsidR="00FC4214">
        <w:rPr>
          <w:rFonts w:ascii="Times New Roman" w:hAnsi="Times New Roman"/>
          <w:color w:val="332E2D"/>
          <w:sz w:val="28"/>
          <w:szCs w:val="28"/>
        </w:rPr>
        <w:t xml:space="preserve">е образование городской 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>округ</w:t>
      </w:r>
      <w:r w:rsidR="00FC4214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>г</w:t>
      </w:r>
      <w:r w:rsidR="00FC4214">
        <w:rPr>
          <w:rFonts w:ascii="Times New Roman" w:hAnsi="Times New Roman"/>
          <w:color w:val="332E2D"/>
          <w:sz w:val="28"/>
          <w:szCs w:val="28"/>
        </w:rPr>
        <w:t>ород Красный Луч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 xml:space="preserve"> Луганской Народной Республики</w:t>
      </w:r>
      <w:r w:rsidR="009A7A94">
        <w:rPr>
          <w:rFonts w:ascii="Times New Roman" w:hAnsi="Times New Roman"/>
          <w:color w:val="332E2D"/>
          <w:sz w:val="28"/>
          <w:szCs w:val="28"/>
        </w:rPr>
        <w:t>, утвержденного решением Совета</w:t>
      </w:r>
      <w:r w:rsidR="005F329D">
        <w:rPr>
          <w:rFonts w:ascii="Times New Roman" w:hAnsi="Times New Roman"/>
          <w:color w:val="332E2D"/>
          <w:sz w:val="28"/>
          <w:szCs w:val="28"/>
        </w:rPr>
        <w:t xml:space="preserve"> городского округа</w:t>
      </w:r>
      <w:r w:rsidR="009A7A94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 xml:space="preserve">муниципальное образование </w:t>
      </w:r>
      <w:r w:rsidR="005F329D">
        <w:rPr>
          <w:rFonts w:ascii="Times New Roman" w:hAnsi="Times New Roman"/>
          <w:color w:val="332E2D"/>
          <w:sz w:val="28"/>
          <w:szCs w:val="28"/>
        </w:rPr>
        <w:t>городской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 xml:space="preserve"> округ </w:t>
      </w:r>
      <w:r w:rsidR="005F329D">
        <w:rPr>
          <w:rFonts w:ascii="Times New Roman" w:hAnsi="Times New Roman"/>
          <w:color w:val="332E2D"/>
          <w:sz w:val="28"/>
          <w:szCs w:val="28"/>
        </w:rPr>
        <w:t xml:space="preserve">город Красный Луч </w:t>
      </w:r>
      <w:r w:rsidR="009A7A94" w:rsidRPr="009A7A94">
        <w:rPr>
          <w:rFonts w:ascii="Times New Roman" w:hAnsi="Times New Roman"/>
          <w:color w:val="332E2D"/>
          <w:sz w:val="28"/>
          <w:szCs w:val="28"/>
        </w:rPr>
        <w:t xml:space="preserve">Луганской Народной Республики </w:t>
      </w:r>
      <w:r w:rsidR="009A7A94">
        <w:rPr>
          <w:rFonts w:ascii="Times New Roman" w:hAnsi="Times New Roman"/>
          <w:color w:val="332E2D"/>
          <w:sz w:val="28"/>
          <w:szCs w:val="28"/>
        </w:rPr>
        <w:t>от 0</w:t>
      </w:r>
      <w:r w:rsidR="005F329D">
        <w:rPr>
          <w:rFonts w:ascii="Times New Roman" w:hAnsi="Times New Roman"/>
          <w:color w:val="332E2D"/>
          <w:sz w:val="28"/>
          <w:szCs w:val="28"/>
        </w:rPr>
        <w:t>8</w:t>
      </w:r>
      <w:r w:rsidR="009A7A94">
        <w:rPr>
          <w:rFonts w:ascii="Times New Roman" w:hAnsi="Times New Roman"/>
          <w:color w:val="332E2D"/>
          <w:sz w:val="28"/>
          <w:szCs w:val="28"/>
        </w:rPr>
        <w:t>.11.2023 № 2</w:t>
      </w:r>
      <w:r w:rsidR="00F66B18">
        <w:rPr>
          <w:rFonts w:ascii="Times New Roman" w:hAnsi="Times New Roman"/>
          <w:color w:val="332E2D"/>
          <w:sz w:val="28"/>
          <w:szCs w:val="28"/>
        </w:rPr>
        <w:t xml:space="preserve"> (с изменениями)</w:t>
      </w:r>
      <w:r w:rsidR="009A7A94">
        <w:rPr>
          <w:rFonts w:ascii="Times New Roman" w:hAnsi="Times New Roman"/>
          <w:color w:val="332E2D"/>
          <w:sz w:val="28"/>
          <w:szCs w:val="28"/>
        </w:rPr>
        <w:t xml:space="preserve">, </w:t>
      </w:r>
      <w:r w:rsidR="0097009C" w:rsidRPr="002F01C4">
        <w:rPr>
          <w:rFonts w:ascii="Times New Roman" w:hAnsi="Times New Roman"/>
          <w:color w:val="332E2D"/>
          <w:sz w:val="28"/>
          <w:szCs w:val="28"/>
        </w:rPr>
        <w:t xml:space="preserve">Администрация </w:t>
      </w:r>
      <w:r w:rsidR="005F329D">
        <w:rPr>
          <w:rFonts w:ascii="Times New Roman" w:hAnsi="Times New Roman"/>
          <w:color w:val="332E2D"/>
          <w:sz w:val="28"/>
          <w:szCs w:val="28"/>
        </w:rPr>
        <w:t xml:space="preserve">городского округа </w:t>
      </w:r>
      <w:r w:rsidR="005F329D" w:rsidRPr="009A7A94">
        <w:rPr>
          <w:rFonts w:ascii="Times New Roman" w:hAnsi="Times New Roman"/>
          <w:color w:val="332E2D"/>
          <w:sz w:val="28"/>
          <w:szCs w:val="28"/>
        </w:rPr>
        <w:t>муниципально</w:t>
      </w:r>
      <w:r w:rsidR="005F329D">
        <w:rPr>
          <w:rFonts w:ascii="Times New Roman" w:hAnsi="Times New Roman"/>
          <w:color w:val="332E2D"/>
          <w:sz w:val="28"/>
          <w:szCs w:val="28"/>
        </w:rPr>
        <w:t xml:space="preserve">е образование городской </w:t>
      </w:r>
      <w:r w:rsidR="005F329D" w:rsidRPr="009A7A94">
        <w:rPr>
          <w:rFonts w:ascii="Times New Roman" w:hAnsi="Times New Roman"/>
          <w:color w:val="332E2D"/>
          <w:sz w:val="28"/>
          <w:szCs w:val="28"/>
        </w:rPr>
        <w:t>округ</w:t>
      </w:r>
      <w:r w:rsidR="005F329D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5F329D" w:rsidRPr="009A7A94">
        <w:rPr>
          <w:rFonts w:ascii="Times New Roman" w:hAnsi="Times New Roman"/>
          <w:color w:val="332E2D"/>
          <w:sz w:val="28"/>
          <w:szCs w:val="28"/>
        </w:rPr>
        <w:t>г</w:t>
      </w:r>
      <w:r w:rsidR="005F329D">
        <w:rPr>
          <w:rFonts w:ascii="Times New Roman" w:hAnsi="Times New Roman"/>
          <w:color w:val="332E2D"/>
          <w:sz w:val="28"/>
          <w:szCs w:val="28"/>
        </w:rPr>
        <w:t>ород Красный Луч</w:t>
      </w:r>
      <w:r w:rsidR="005F329D" w:rsidRPr="009A7A94">
        <w:rPr>
          <w:rFonts w:ascii="Times New Roman" w:hAnsi="Times New Roman"/>
          <w:color w:val="332E2D"/>
          <w:sz w:val="28"/>
          <w:szCs w:val="28"/>
        </w:rPr>
        <w:t xml:space="preserve"> </w:t>
      </w:r>
      <w:r w:rsidR="00CC177A" w:rsidRPr="00CC177A">
        <w:rPr>
          <w:rFonts w:ascii="Times New Roman" w:hAnsi="Times New Roman"/>
          <w:color w:val="332E2D"/>
          <w:sz w:val="28"/>
          <w:szCs w:val="28"/>
        </w:rPr>
        <w:t>Луганской Народной Республики</w:t>
      </w:r>
      <w:r w:rsidR="002005C4">
        <w:rPr>
          <w:rFonts w:ascii="Times New Roman" w:hAnsi="Times New Roman"/>
          <w:color w:val="332E2D"/>
          <w:sz w:val="28"/>
          <w:szCs w:val="28"/>
        </w:rPr>
        <w:t>,</w:t>
      </w:r>
    </w:p>
    <w:p w:rsidR="002F01C4" w:rsidRDefault="002F01C4" w:rsidP="007A67E8">
      <w:pPr>
        <w:pStyle w:val="a6"/>
        <w:spacing w:after="0" w:line="252" w:lineRule="auto"/>
        <w:ind w:left="0" w:firstLine="708"/>
        <w:jc w:val="both"/>
        <w:rPr>
          <w:rFonts w:ascii="Times New Roman" w:hAnsi="Times New Roman"/>
          <w:color w:val="332E2D"/>
          <w:sz w:val="28"/>
          <w:szCs w:val="28"/>
        </w:rPr>
      </w:pPr>
    </w:p>
    <w:p w:rsidR="00A03EA5" w:rsidRDefault="00A03EA5" w:rsidP="007A67E8">
      <w:pPr>
        <w:pStyle w:val="a6"/>
        <w:spacing w:after="0" w:line="252" w:lineRule="auto"/>
        <w:ind w:left="0" w:firstLine="708"/>
        <w:jc w:val="both"/>
        <w:rPr>
          <w:rFonts w:ascii="Times New Roman" w:hAnsi="Times New Roman"/>
          <w:color w:val="332E2D"/>
          <w:sz w:val="28"/>
          <w:szCs w:val="28"/>
        </w:rPr>
      </w:pPr>
    </w:p>
    <w:p w:rsidR="002F01C4" w:rsidRPr="002F01C4" w:rsidRDefault="002F01C4" w:rsidP="005F329D">
      <w:pPr>
        <w:pStyle w:val="a6"/>
        <w:spacing w:after="0" w:line="252" w:lineRule="auto"/>
        <w:ind w:left="0"/>
        <w:jc w:val="center"/>
        <w:rPr>
          <w:rFonts w:ascii="Times New Roman" w:hAnsi="Times New Roman"/>
          <w:b/>
          <w:bCs/>
          <w:color w:val="332E2D"/>
          <w:sz w:val="28"/>
          <w:szCs w:val="28"/>
        </w:rPr>
      </w:pPr>
      <w:r w:rsidRPr="002F01C4">
        <w:rPr>
          <w:rFonts w:ascii="Times New Roman" w:hAnsi="Times New Roman"/>
          <w:b/>
          <w:bCs/>
          <w:color w:val="332E2D"/>
          <w:sz w:val="28"/>
          <w:szCs w:val="28"/>
        </w:rPr>
        <w:t>ПОСТАНОВЛЯЕТ</w:t>
      </w:r>
      <w:r>
        <w:rPr>
          <w:rFonts w:ascii="Times New Roman" w:hAnsi="Times New Roman"/>
          <w:b/>
          <w:bCs/>
          <w:color w:val="332E2D"/>
          <w:sz w:val="28"/>
          <w:szCs w:val="28"/>
        </w:rPr>
        <w:t>:</w:t>
      </w:r>
    </w:p>
    <w:p w:rsidR="0073190D" w:rsidRDefault="0073190D" w:rsidP="007A67E8">
      <w:pPr>
        <w:pStyle w:val="a6"/>
        <w:spacing w:after="0" w:line="252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3EA5" w:rsidRDefault="00A03EA5" w:rsidP="007A67E8">
      <w:pPr>
        <w:pStyle w:val="a6"/>
        <w:spacing w:after="0" w:line="252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4166" w:rsidRPr="0073190D" w:rsidRDefault="00136E34" w:rsidP="0073190D">
      <w:pPr>
        <w:pStyle w:val="40"/>
        <w:shd w:val="clear" w:color="auto" w:fill="auto"/>
        <w:spacing w:before="0" w:after="0" w:line="252" w:lineRule="auto"/>
        <w:ind w:firstLine="708"/>
        <w:jc w:val="both"/>
        <w:rPr>
          <w:noProof/>
          <w:color w:val="000000" w:themeColor="text1"/>
        </w:rPr>
      </w:pPr>
      <w:r w:rsidRPr="00136E34">
        <w:rPr>
          <w:b w:val="0"/>
          <w:noProof/>
          <w:color w:val="000000" w:themeColor="text1"/>
        </w:rPr>
        <w:t>1.</w:t>
      </w:r>
      <w:r w:rsidR="00793EF5">
        <w:rPr>
          <w:b w:val="0"/>
          <w:noProof/>
          <w:color w:val="000000" w:themeColor="text1"/>
        </w:rPr>
        <w:t xml:space="preserve"> </w:t>
      </w:r>
      <w:r w:rsidRPr="00136E34">
        <w:rPr>
          <w:b w:val="0"/>
          <w:noProof/>
          <w:color w:val="000000" w:themeColor="text1"/>
        </w:rPr>
        <w:t xml:space="preserve">Утвердить </w:t>
      </w:r>
      <w:r w:rsidR="00793EF5" w:rsidRPr="00793EF5">
        <w:rPr>
          <w:b w:val="0"/>
          <w:noProof/>
          <w:color w:val="000000" w:themeColor="text1"/>
        </w:rPr>
        <w:t xml:space="preserve">прилагаемый </w:t>
      </w:r>
      <w:r w:rsidR="001A121B">
        <w:rPr>
          <w:b w:val="0"/>
          <w:noProof/>
          <w:color w:val="000000" w:themeColor="text1"/>
        </w:rPr>
        <w:t>Порядок разработки, корректировки, осуществления мониторинга и контроля реализации прогнозов социально-</w:t>
      </w:r>
      <w:r w:rsidR="0092458F">
        <w:rPr>
          <w:b w:val="0"/>
          <w:noProof/>
          <w:color w:val="000000" w:themeColor="text1"/>
        </w:rPr>
        <w:t xml:space="preserve"> </w:t>
      </w:r>
      <w:r w:rsidR="001A121B">
        <w:rPr>
          <w:b w:val="0"/>
          <w:noProof/>
          <w:color w:val="000000" w:themeColor="text1"/>
        </w:rPr>
        <w:t>экономического развития муниципального</w:t>
      </w:r>
      <w:r w:rsidR="005F329D">
        <w:rPr>
          <w:b w:val="0"/>
          <w:noProof/>
          <w:color w:val="000000" w:themeColor="text1"/>
        </w:rPr>
        <w:t xml:space="preserve"> образования городской округ город Красный Луч</w:t>
      </w:r>
      <w:r w:rsidR="001A121B">
        <w:rPr>
          <w:b w:val="0"/>
          <w:noProof/>
          <w:color w:val="000000" w:themeColor="text1"/>
        </w:rPr>
        <w:t xml:space="preserve"> Луганской Народной Республики на долгосрочный и среднесрочный периоды</w:t>
      </w:r>
      <w:r w:rsidRPr="00136E34">
        <w:rPr>
          <w:b w:val="0"/>
          <w:noProof/>
          <w:color w:val="000000" w:themeColor="text1"/>
        </w:rPr>
        <w:t>.</w:t>
      </w:r>
    </w:p>
    <w:p w:rsidR="005F329D" w:rsidRDefault="0097009C" w:rsidP="005F329D">
      <w:pPr>
        <w:pStyle w:val="40"/>
        <w:spacing w:before="0" w:after="0" w:line="252" w:lineRule="auto"/>
        <w:ind w:firstLine="709"/>
        <w:jc w:val="both"/>
        <w:rPr>
          <w:b w:val="0"/>
          <w:noProof/>
          <w:color w:val="000000" w:themeColor="text1"/>
        </w:rPr>
      </w:pPr>
      <w:r>
        <w:rPr>
          <w:b w:val="0"/>
          <w:noProof/>
          <w:color w:val="000000" w:themeColor="text1"/>
        </w:rPr>
        <w:t>2</w:t>
      </w:r>
      <w:r w:rsidR="00267B28">
        <w:rPr>
          <w:b w:val="0"/>
          <w:noProof/>
          <w:color w:val="000000" w:themeColor="text1"/>
        </w:rPr>
        <w:t xml:space="preserve">. </w:t>
      </w:r>
      <w:r w:rsidR="007A67E8" w:rsidRPr="007A67E8">
        <w:rPr>
          <w:b w:val="0"/>
          <w:noProof/>
          <w:color w:val="000000" w:themeColor="text1"/>
        </w:rPr>
        <w:t xml:space="preserve">Опубликовать настоящее </w:t>
      </w:r>
      <w:r w:rsidR="007A67E8">
        <w:rPr>
          <w:b w:val="0"/>
          <w:noProof/>
          <w:color w:val="000000" w:themeColor="text1"/>
        </w:rPr>
        <w:t>постановле</w:t>
      </w:r>
      <w:r w:rsidR="007A67E8" w:rsidRPr="007A67E8">
        <w:rPr>
          <w:b w:val="0"/>
          <w:noProof/>
          <w:color w:val="000000" w:themeColor="text1"/>
        </w:rPr>
        <w:t>ние в</w:t>
      </w:r>
      <w:r w:rsidR="005F329D" w:rsidRPr="005F329D">
        <w:rPr>
          <w:b w:val="0"/>
          <w:noProof/>
          <w:color w:val="000000" w:themeColor="text1"/>
        </w:rPr>
        <w:t xml:space="preserve"> официальном печатном </w:t>
      </w:r>
      <w:r w:rsidR="005F329D" w:rsidRPr="005F329D">
        <w:rPr>
          <w:b w:val="0"/>
          <w:noProof/>
          <w:color w:val="000000" w:themeColor="text1"/>
        </w:rPr>
        <w:lastRenderedPageBreak/>
        <w:t>издании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 – телекоммуникационной сети «Интернет» (</w:t>
      </w:r>
      <w:hyperlink r:id="rId8" w:history="1">
        <w:r w:rsidR="005F329D" w:rsidRPr="005F329D">
          <w:rPr>
            <w:b w:val="0"/>
            <w:noProof/>
            <w:color w:val="000000" w:themeColor="text1"/>
          </w:rPr>
          <w:t>https://krasnyluch.su/</w:t>
        </w:r>
      </w:hyperlink>
      <w:r w:rsidR="005F329D" w:rsidRPr="005F329D">
        <w:rPr>
          <w:b w:val="0"/>
          <w:noProof/>
          <w:color w:val="000000" w:themeColor="text1"/>
        </w:rPr>
        <w:t>).</w:t>
      </w:r>
      <w:r w:rsidR="007A67E8" w:rsidRPr="007A67E8">
        <w:rPr>
          <w:b w:val="0"/>
          <w:noProof/>
          <w:color w:val="000000" w:themeColor="text1"/>
        </w:rPr>
        <w:t xml:space="preserve"> </w:t>
      </w:r>
    </w:p>
    <w:p w:rsidR="007A67E8" w:rsidRPr="00087965" w:rsidRDefault="0097009C" w:rsidP="005F329D">
      <w:pPr>
        <w:pStyle w:val="40"/>
        <w:spacing w:before="0" w:after="0" w:line="252" w:lineRule="auto"/>
        <w:ind w:firstLine="709"/>
        <w:jc w:val="both"/>
        <w:rPr>
          <w:b w:val="0"/>
          <w:noProof/>
          <w:color w:val="000000" w:themeColor="text1"/>
        </w:rPr>
      </w:pPr>
      <w:r>
        <w:rPr>
          <w:b w:val="0"/>
          <w:noProof/>
          <w:color w:val="000000" w:themeColor="text1"/>
        </w:rPr>
        <w:t>3</w:t>
      </w:r>
      <w:r w:rsidR="007A67E8" w:rsidRPr="007A67E8">
        <w:rPr>
          <w:b w:val="0"/>
          <w:noProof/>
          <w:color w:val="000000" w:themeColor="text1"/>
        </w:rPr>
        <w:t>. Настоящее решение вступает в силу со дня официального опубликования.</w:t>
      </w:r>
    </w:p>
    <w:p w:rsidR="007C2DB9" w:rsidRPr="00087965" w:rsidRDefault="0097009C" w:rsidP="007A67E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40" w:firstLine="66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C2DB9" w:rsidRPr="0008796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7A67E8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7C2DB9" w:rsidRPr="0008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="007C2DB9" w:rsidRPr="000879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2DB9" w:rsidRPr="00087965" w:rsidRDefault="007C2DB9" w:rsidP="007A5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firstLine="6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346A" w:rsidRPr="00087965" w:rsidRDefault="0045346A" w:rsidP="009F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7965" w:rsidRPr="00087965" w:rsidRDefault="00087965" w:rsidP="009F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F329D" w:rsidRDefault="00344670" w:rsidP="0034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4670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Pr="003446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C12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29D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</w:p>
    <w:p w:rsidR="00EC129B" w:rsidRDefault="00EC129B" w:rsidP="0034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</w:t>
      </w:r>
    </w:p>
    <w:p w:rsidR="005F329D" w:rsidRDefault="005F329D" w:rsidP="0034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городской округ</w:t>
      </w:r>
    </w:p>
    <w:p w:rsidR="00EC129B" w:rsidRDefault="005F329D" w:rsidP="0034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город Красный Луч</w:t>
      </w:r>
    </w:p>
    <w:p w:rsidR="00A50307" w:rsidRPr="00087965" w:rsidRDefault="00EC129B" w:rsidP="00344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A50307" w:rsidRPr="00087965" w:rsidSect="001E0FDF">
          <w:headerReference w:type="default" r:id="rId9"/>
          <w:headerReference w:type="first" r:id="rId10"/>
          <w:pgSz w:w="11906" w:h="16838"/>
          <w:pgMar w:top="426" w:right="566" w:bottom="1134" w:left="1701" w:header="13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>Луганской Народной Республики</w:t>
      </w:r>
      <w:r w:rsidR="00344670" w:rsidRPr="003446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5346A" w:rsidRPr="0008796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45346A" w:rsidRPr="0008796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36E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36E3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4B142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329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5F329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136E34" w:rsidRPr="00136E34">
        <w:rPr>
          <w:rFonts w:ascii="Times New Roman" w:hAnsi="Times New Roman"/>
          <w:color w:val="000000" w:themeColor="text1"/>
          <w:sz w:val="28"/>
          <w:szCs w:val="28"/>
        </w:rPr>
        <w:t>.В.</w:t>
      </w:r>
      <w:r w:rsidR="005F329D">
        <w:rPr>
          <w:rFonts w:ascii="Times New Roman" w:hAnsi="Times New Roman"/>
          <w:color w:val="000000" w:themeColor="text1"/>
          <w:sz w:val="28"/>
          <w:szCs w:val="28"/>
        </w:rPr>
        <w:t>Соловье</w:t>
      </w:r>
      <w:r w:rsidR="00A03EA5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C1638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>городской  округ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>город Красный Луч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  <w:r w:rsidRPr="00C16388"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</w:p>
    <w:p w:rsidR="00E91D1B" w:rsidRPr="00C11957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11957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C1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09.</w:t>
      </w:r>
      <w:r w:rsidRPr="00C16388">
        <w:rPr>
          <w:rFonts w:ascii="Times New Roman" w:hAnsi="Times New Roman"/>
          <w:sz w:val="28"/>
          <w:szCs w:val="28"/>
        </w:rPr>
        <w:t xml:space="preserve">2024 г. № </w:t>
      </w:r>
      <w:r w:rsidRPr="00C11957">
        <w:rPr>
          <w:rFonts w:ascii="Times New Roman" w:hAnsi="Times New Roman"/>
          <w:sz w:val="28"/>
          <w:szCs w:val="28"/>
        </w:rPr>
        <w:t>П-320/24</w:t>
      </w:r>
    </w:p>
    <w:p w:rsidR="00E91D1B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</w:p>
    <w:p w:rsidR="00E91D1B" w:rsidRPr="00C16388" w:rsidRDefault="00E91D1B" w:rsidP="00E91D1B">
      <w:pPr>
        <w:shd w:val="clear" w:color="auto" w:fill="FFFFFF"/>
        <w:spacing w:after="0" w:line="240" w:lineRule="auto"/>
        <w:ind w:left="5103" w:right="-143"/>
        <w:rPr>
          <w:rFonts w:ascii="Times New Roman" w:hAnsi="Times New Roman"/>
          <w:sz w:val="28"/>
          <w:szCs w:val="28"/>
        </w:rPr>
      </w:pP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bCs/>
          <w:spacing w:val="-2"/>
          <w:sz w:val="28"/>
          <w:szCs w:val="28"/>
          <w:lang w:eastAsia="en-US"/>
        </w:rPr>
      </w:pPr>
      <w:r w:rsidRPr="00C16388">
        <w:rPr>
          <w:b/>
          <w:bCs/>
          <w:spacing w:val="-2"/>
          <w:sz w:val="28"/>
          <w:szCs w:val="28"/>
          <w:lang w:eastAsia="en-US"/>
        </w:rPr>
        <w:t xml:space="preserve">ПОРЯДОК 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  <w:r w:rsidRPr="00C16388">
        <w:rPr>
          <w:b/>
          <w:bCs/>
          <w:spacing w:val="-2"/>
          <w:sz w:val="28"/>
          <w:szCs w:val="28"/>
          <w:lang w:eastAsia="en-US"/>
        </w:rPr>
        <w:t xml:space="preserve">разработки, корректировки, осуществления мониторинга и контроля реализации прогнозов социально-экономического развития </w:t>
      </w:r>
      <w:r w:rsidRPr="00C16388">
        <w:rPr>
          <w:b/>
          <w:sz w:val="28"/>
          <w:lang w:eastAsia="en-US"/>
        </w:rPr>
        <w:t>муниципального образования городской округ город Красный Луч Луганской Народной Республики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bCs/>
          <w:spacing w:val="-2"/>
          <w:sz w:val="28"/>
          <w:szCs w:val="28"/>
          <w:lang w:eastAsia="en-US"/>
        </w:rPr>
      </w:pPr>
      <w:r w:rsidRPr="00C16388">
        <w:rPr>
          <w:b/>
          <w:bCs/>
          <w:spacing w:val="-2"/>
          <w:sz w:val="28"/>
          <w:szCs w:val="28"/>
          <w:lang w:eastAsia="en-US"/>
        </w:rPr>
        <w:t>на долгосрочный и среднесрочный периоды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E91D1B" w:rsidRPr="00C16388" w:rsidRDefault="00E91D1B" w:rsidP="00E91D1B">
      <w:pPr>
        <w:pStyle w:val="af"/>
        <w:spacing w:after="0"/>
        <w:ind w:left="1080" w:right="160"/>
        <w:rPr>
          <w:b/>
          <w:bCs/>
          <w:sz w:val="28"/>
          <w:szCs w:val="28"/>
        </w:rPr>
      </w:pP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bCs/>
          <w:sz w:val="28"/>
          <w:szCs w:val="28"/>
        </w:rPr>
      </w:pPr>
      <w:r w:rsidRPr="00C16388">
        <w:rPr>
          <w:b/>
          <w:bCs/>
          <w:sz w:val="28"/>
          <w:szCs w:val="28"/>
          <w:lang w:val="en-US"/>
        </w:rPr>
        <w:t>I</w:t>
      </w:r>
      <w:r w:rsidRPr="00C16388">
        <w:rPr>
          <w:b/>
          <w:bCs/>
          <w:sz w:val="28"/>
          <w:szCs w:val="28"/>
        </w:rPr>
        <w:t>. Общие положения</w:t>
      </w:r>
    </w:p>
    <w:p w:rsidR="00E91D1B" w:rsidRPr="00C16388" w:rsidRDefault="00E91D1B" w:rsidP="00E91D1B">
      <w:pPr>
        <w:pStyle w:val="af"/>
        <w:spacing w:after="0"/>
        <w:ind w:left="1080" w:right="140"/>
        <w:rPr>
          <w:b/>
          <w:bCs/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639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1.1. 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муниципального образования городской округ город Красный Луч Луганской Народной Республики на долгосрочный период (далее – долгосрочный прогноз) и прогноза социально-экономического развития муниципального образования городской округ город Красный Луч Луганской Народной Республики на среднесрочный период (далее – среднесрочный прогноз).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1.2. Прогнозы разрабатываются в целях определения тенденций социально-экономического развития муниципального образования городской округ город Красный Луч Луганской Народной Республики (далее – городской округ) на долгосрочную и среднесрочную перспективы.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1.3. Прогноз социально-экономического развития муниципального образования на долгосрочный и среднесрочный период разрабатывается на вариативной основе с учетом воздействия внешних и внутренних факторов развития муниципального образования (приложение №1 к Порядку).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1.4. Прогноз является основой для разработки проекта бюджета муниципального образования на очередной финансовый год и плановый период. Изменение прогноза в ходе составления или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lastRenderedPageBreak/>
        <w:t>1.5. Содержание долгосрочного и среднесрочного прогнозов определяется Федеральным законом от 28.06.2014 № 172-ФЗ «О стратегическом планировании в Российской Федерации»</w:t>
      </w:r>
      <w:r>
        <w:rPr>
          <w:sz w:val="28"/>
          <w:szCs w:val="28"/>
        </w:rPr>
        <w:t xml:space="preserve"> (редакции от 17.02.2023)</w:t>
      </w:r>
      <w:r w:rsidRPr="00C16388">
        <w:rPr>
          <w:sz w:val="28"/>
          <w:szCs w:val="28"/>
        </w:rPr>
        <w:t xml:space="preserve"> и Законом Луганской Народной Республики от 15.02.2024 № 44-I «О стратегическом планировании в Луганской Народной Республике».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1.6. Проекты долгосрочного и среднесрочного прогнозов выносятся на общественное обсуждение.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b/>
          <w:bCs/>
          <w:sz w:val="28"/>
          <w:szCs w:val="28"/>
        </w:rPr>
      </w:pPr>
      <w:r w:rsidRPr="00C16388">
        <w:rPr>
          <w:b/>
          <w:bCs/>
          <w:sz w:val="28"/>
          <w:szCs w:val="28"/>
        </w:rPr>
        <w:t>II. Разработка и корректировка долгосрочного, среднесрочного прогноза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2.1. Разработка, корректировка, осуществление мониторинга и контроля реализации долгосрочного и среднесрочного прогнозов осуществляется управлением экономического развития Администрации городского округа муниципальное образование городской округ город Красный Луч Луганской Народной Республики (далее – управление экономического развития) совместно с участниками.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C16388">
        <w:rPr>
          <w:sz w:val="28"/>
          <w:szCs w:val="28"/>
        </w:rPr>
        <w:t>. Прогноз состоит из таблицы с отчетными и прогнозируемыми значениями показателей социально-экономического развития муниципального образования и пояснительной записки.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2.3. Таблица включает в себя систему показателей, объединенных в разделы, по основным направлениям экономики и социальной сферы. Стоимостные показатели прогнозируемого периода рассчитываются с учетом индексов-дефляторов.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2.4. В приложении №2 к Порядку приведены ответственные участники, осуществляющие разработку и свод разделов прогноза.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2.5. Участники разработки прогнозов для формирования долгосрочного и среднесрочного прогнозов используют статистическую информацию органов государственной статистики.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2.6. В случае отсутствия сведений о фактических значениях показателей, подтвержденных официальной статистической информацией, указываются оценочные значения данных показателей.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C16388">
        <w:rPr>
          <w:sz w:val="28"/>
          <w:szCs w:val="28"/>
        </w:rPr>
        <w:t>. Среднесрочный прогноз разрабатывается ежегодно на основе прогноза социально-экономического развития Луганской Народной Республики на среднесрочный период, стратегии социально-экономического развития городского округа с учетом основных направлений бюджетной и налоговой политики Луганской Народной Республики.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16388">
        <w:rPr>
          <w:sz w:val="28"/>
          <w:szCs w:val="28"/>
        </w:rPr>
        <w:t>. Разработка среднесрочного прогноза осуществляется в три этапа: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16388">
        <w:rPr>
          <w:sz w:val="28"/>
          <w:szCs w:val="28"/>
        </w:rPr>
        <w:t>.1. На первом этапе управление экономического развития совместно с</w:t>
      </w:r>
      <w:r>
        <w:rPr>
          <w:sz w:val="28"/>
          <w:szCs w:val="28"/>
        </w:rPr>
        <w:t>о</w:t>
      </w:r>
      <w:r w:rsidRPr="00C16388">
        <w:rPr>
          <w:sz w:val="28"/>
          <w:szCs w:val="28"/>
        </w:rPr>
        <w:t xml:space="preserve"> структурными подразделениями Администрации городского округа муниципальное образование городской округ город Красный Луч Луганской Народной Республики, муниципальными учреждениями, предприятиями, территориальными органами федеральных органов исполнительной власти, коммерческими и некоммерческими организациями и другими субъектами, осуществляющими деятельность на территории муниципального образования, а </w:t>
      </w:r>
      <w:r w:rsidRPr="00C16388">
        <w:rPr>
          <w:sz w:val="28"/>
          <w:szCs w:val="28"/>
        </w:rPr>
        <w:lastRenderedPageBreak/>
        <w:t xml:space="preserve">также другими участниками процесса прогнозирования (далее – участники) на основе сценарных условий функционирования экономики Луганской Народной Республики и основных параметров среднесрочного прогноза Луганской Народной Республики разрабатывает сценарные условия функционирования экономики городского округа и основные параметры среднесрочного прогноза городского округа.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16388">
        <w:rPr>
          <w:sz w:val="28"/>
          <w:szCs w:val="28"/>
        </w:rPr>
        <w:t>.2. На втором этапе управление экономического развития совместно с участниками на основе вариантов развития видов экономической деятельности, секторов, сфер экономики муниципального округа, а также иных материалов, необходимых для разработки соответствующих разделов прогноза, разрабатывает среднесрочный прогноз, проект нормативного правового акта Администрации городского округа муниципальное образование городской округ город Красный Луч Луганской Народной Республики (далее – Администрация).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C16388">
        <w:rPr>
          <w:sz w:val="28"/>
          <w:szCs w:val="28"/>
        </w:rPr>
        <w:t xml:space="preserve">.3. На третьем этапе управление экономического развития уточняет параметры среднесрочного прогноза на основе уточненных Территориальным органом Федеральной службы государственной статистики по Луганской Народной Республике отчетных данных об итогах социально-экономического развития городского округа за предыдущий год и с учетом текущей социально-экономической ситуации.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16388">
        <w:rPr>
          <w:sz w:val="28"/>
          <w:szCs w:val="28"/>
        </w:rPr>
        <w:t xml:space="preserve">. Прогноз социально-экономического развития муниципального образования на долгосрочный период разрабатывается каждые шесть лет на 12 и более лет на основе прогноза социально-экономического развития Луганской Народной Республики на долгосрочный период с учетом прогноза научно-технологического развития Луганской Народной Республики и данных, представляемых участниками.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C16388">
        <w:rPr>
          <w:sz w:val="28"/>
          <w:szCs w:val="28"/>
        </w:rPr>
        <w:t xml:space="preserve">. Управление экономического развития осуществляет корректировку прогноза на долгосрочный период в соответствии с нормативным правовым актом Администрации с учетом среднесрочного прогноза.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sz w:val="28"/>
          <w:szCs w:val="28"/>
        </w:rPr>
      </w:pPr>
      <w:r w:rsidRPr="00C16388">
        <w:rPr>
          <w:b/>
          <w:bCs/>
          <w:sz w:val="28"/>
          <w:szCs w:val="28"/>
        </w:rPr>
        <w:t>III. Взаимодействие участников процесса разработки проектов долгосрочного и среднесрочного прогнозов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3.1. Общее методологическое руководство, организацию и координацию работ по составлению и корректировке прогноза осуществляет управление экономического развития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3.2.</w:t>
      </w:r>
      <w:r w:rsidRPr="00C16388">
        <w:t> </w:t>
      </w:r>
      <w:r w:rsidRPr="00C16388">
        <w:rPr>
          <w:sz w:val="28"/>
          <w:szCs w:val="28"/>
        </w:rPr>
        <w:t>Участники разработки прогноза: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– осуществляют комплексный анализ тенденций развития в установленной сфере деятельности, дают количественную и качественную оценку значений показателей и параметров их изменения в текущем году, указывают причины и факторы происходящих изменений;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lastRenderedPageBreak/>
        <w:t>– разрабатывают показатели прогноза на основе комплексного анализа, описывают динамику их изменений в прогнозируемом периоде, возможные причины и факторы прогнозируемых изменений, а также действия и меры, направленные на достижение прогнозируемых показателей;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– представляют в управление экономического развития показатели прогноза с пояснительной запиской в установленные управлением экономического развития сроки.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3.3. Материалы для разработки проектов долгосрочных и среднесрочных прогнозов предоставляются участниками в управление экономического развития на бумажном носителе и в электронном виде.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b/>
          <w:bCs/>
          <w:sz w:val="28"/>
          <w:szCs w:val="28"/>
        </w:rPr>
      </w:pPr>
      <w:r w:rsidRPr="00C16388">
        <w:rPr>
          <w:b/>
          <w:bCs/>
          <w:sz w:val="28"/>
          <w:szCs w:val="28"/>
        </w:rPr>
        <w:t>IV. Общественное обсуждение проектов долгосрочного и среднесрочного прогнозов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4.1. В целях обеспечения открытости и доступности информации об основных положениях долгосрочного и среднесрочного прогнозов их проекты подлежат размещению на официальном сайте Администрации в информационно-телекоммуникационной сети «Интернет» (далее – сеть «Интернет»).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 В целях проведения общественного обсуждения проектов долгосрочного и среднесрочного прогнозов в сети «Интернет» размещается следующая информация и документы: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4.2.1. Наименование проектов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4.2.2. Проекты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4.2.3. Пояснительная записка к проектам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4.2.4. Даты начала и завершения общественного обсуждения проектов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4.2.5. Порядок направления предложений и замечаний к проектам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4.2.6. Иная информация, относящаяся к общественному обсуждению проектов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4.3. Срок общественного обсуждения проектов долгосрочного и среднесрочного прогнозов составляет не менее семи календарных дней с даты размещения проектов прогнозов в сети «Интернет».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4.4. Предложения и замечания, поступившие в ходе проведения общественного обсуждения проектов долгосрочного и среднесрочного прогнозов, носят рекомендательный характер и подлежат обязательному рассмотрению участниками в соответствии с их сферой ведения.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4.5. Участники представляют в управление экономического развития мотивированный ответ о принятии (отклонении) поступивших в ходе проведения общественного обсуждения проектов долгосрочного и среднесрочного прогнозов предложений и замечаний.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lastRenderedPageBreak/>
        <w:t xml:space="preserve">4.6. Управление экономического развития дорабатывает проекты долгосрочного и среднесрочного прогнозов с учетом позиции участников.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b/>
          <w:bCs/>
          <w:sz w:val="28"/>
          <w:szCs w:val="28"/>
        </w:rPr>
      </w:pPr>
      <w:r w:rsidRPr="00C16388">
        <w:rPr>
          <w:b/>
          <w:bCs/>
          <w:sz w:val="28"/>
          <w:szCs w:val="28"/>
        </w:rPr>
        <w:t>V. Мониторинг и контроль реализации среднесрочного и долгосрочного прогнозов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5.1. Мониторинг и контроль реализации долгосрочного и среднесрочного прогнозов осуществляется ежегодно управлением экономического развития.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5.2. Управление экономического развития ежегодно, в срок до 01 мая, на основе данных, представленных участниками, готовит отчет о реализации долгосрочного и среднесрочного прогнозов.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 xml:space="preserve">5.3. Отчет о реализации долгосрочного и среднесрочного прогнозов размещается на официальном сайте в сети «Интернет» за исключением сведений, отнесенных к государственной, коммерческой, служебной и иной охраняемой законом тайне. 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498"/>
        </w:tabs>
        <w:spacing w:after="0"/>
        <w:jc w:val="center"/>
        <w:rPr>
          <w:b/>
          <w:bCs/>
          <w:sz w:val="28"/>
          <w:szCs w:val="28"/>
        </w:rPr>
      </w:pPr>
      <w:r w:rsidRPr="00C16388">
        <w:rPr>
          <w:b/>
          <w:bCs/>
          <w:sz w:val="28"/>
          <w:szCs w:val="28"/>
        </w:rPr>
        <w:t>VI. Переходные положения</w:t>
      </w:r>
    </w:p>
    <w:p w:rsidR="00E91D1B" w:rsidRPr="00C16388" w:rsidRDefault="00E91D1B" w:rsidP="00E91D1B">
      <w:pPr>
        <w:pStyle w:val="af"/>
        <w:tabs>
          <w:tab w:val="left" w:pos="9498"/>
        </w:tabs>
        <w:spacing w:after="0"/>
        <w:ind w:firstLine="851"/>
        <w:jc w:val="both"/>
        <w:rPr>
          <w:sz w:val="28"/>
          <w:szCs w:val="28"/>
        </w:rPr>
      </w:pPr>
    </w:p>
    <w:p w:rsidR="00E91D1B" w:rsidRPr="00C16388" w:rsidRDefault="00E91D1B" w:rsidP="00E91D1B">
      <w:pPr>
        <w:pStyle w:val="af"/>
        <w:tabs>
          <w:tab w:val="left" w:pos="9639"/>
        </w:tabs>
        <w:spacing w:after="0"/>
        <w:ind w:firstLine="851"/>
        <w:jc w:val="both"/>
        <w:rPr>
          <w:sz w:val="28"/>
          <w:szCs w:val="28"/>
        </w:rPr>
      </w:pPr>
      <w:r w:rsidRPr="00C16388">
        <w:rPr>
          <w:sz w:val="28"/>
          <w:szCs w:val="28"/>
        </w:rPr>
        <w:t>Общественное обсуждение проектов долгосрочного и среднесрочного прогнозов не проводится до отмены военного положения, введенного на территории Луганской Народной Республики в соответствии с Указом Президента Российской Федерации от 19 октября 2022 года № 756 «О введении военного положения на территориях Донецкой Народной Республики, Луганской Народной Республики, Запорожской и Херсонской областей».</w:t>
      </w:r>
    </w:p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Pr="00C16388" w:rsidRDefault="00E91D1B" w:rsidP="00E91D1B"/>
    <w:p w:rsidR="00E91D1B" w:rsidRDefault="00E91D1B" w:rsidP="00E91D1B"/>
    <w:p w:rsidR="00E91D1B" w:rsidRDefault="00E91D1B" w:rsidP="00E91D1B"/>
    <w:p w:rsidR="00E91D1B" w:rsidRPr="00C16388" w:rsidRDefault="00E91D1B" w:rsidP="00E91D1B"/>
    <w:p w:rsidR="00E91D1B" w:rsidRDefault="00E91D1B" w:rsidP="00E91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16388">
        <w:rPr>
          <w:rFonts w:ascii="Times New Roman" w:hAnsi="Times New Roman"/>
          <w:sz w:val="28"/>
          <w:szCs w:val="28"/>
        </w:rPr>
        <w:t>Приложение №1</w:t>
      </w:r>
    </w:p>
    <w:p w:rsidR="00E91D1B" w:rsidRDefault="00E91D1B" w:rsidP="00E91D1B">
      <w:pPr>
        <w:spacing w:after="0" w:line="240" w:lineRule="auto"/>
        <w:ind w:left="6372" w:firstLine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разработки, корректировки, осуществления мониторинга и контроля реализации прогнозов социально-экономического развития муниципального образования городской округ город Красный Луч Луганской Народной Республики на долгосрочный и среднесрочный период</w:t>
      </w:r>
    </w:p>
    <w:p w:rsidR="00E91D1B" w:rsidRPr="00C16388" w:rsidRDefault="00E91D1B" w:rsidP="00E91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  <w:r w:rsidRPr="00C16388">
        <w:rPr>
          <w:b/>
          <w:sz w:val="28"/>
          <w:lang w:eastAsia="en-US"/>
        </w:rPr>
        <w:t xml:space="preserve">Основные показатели прогноза социально-экономического развития </w:t>
      </w:r>
      <w:r>
        <w:rPr>
          <w:b/>
          <w:sz w:val="28"/>
          <w:lang w:eastAsia="en-US"/>
        </w:rPr>
        <w:t xml:space="preserve">городского округа </w:t>
      </w:r>
      <w:r w:rsidRPr="00C16388">
        <w:rPr>
          <w:b/>
          <w:sz w:val="28"/>
          <w:lang w:eastAsia="en-US"/>
        </w:rPr>
        <w:t>муниципально</w:t>
      </w:r>
      <w:r>
        <w:rPr>
          <w:b/>
          <w:sz w:val="28"/>
          <w:lang w:eastAsia="en-US"/>
        </w:rPr>
        <w:t>е</w:t>
      </w:r>
      <w:r w:rsidRPr="00C16388">
        <w:rPr>
          <w:b/>
          <w:sz w:val="28"/>
          <w:lang w:eastAsia="en-US"/>
        </w:rPr>
        <w:t xml:space="preserve"> образовани</w:t>
      </w:r>
      <w:r>
        <w:rPr>
          <w:b/>
          <w:sz w:val="28"/>
          <w:lang w:eastAsia="en-US"/>
        </w:rPr>
        <w:t>е</w:t>
      </w:r>
      <w:r w:rsidRPr="00C16388">
        <w:rPr>
          <w:b/>
          <w:sz w:val="28"/>
          <w:lang w:eastAsia="en-US"/>
        </w:rPr>
        <w:t xml:space="preserve"> городской округ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  <w:r w:rsidRPr="00C16388">
        <w:rPr>
          <w:b/>
          <w:sz w:val="28"/>
          <w:lang w:eastAsia="en-US"/>
        </w:rPr>
        <w:t>город Красный Луч Луганской Народной Республики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</w:p>
    <w:tbl>
      <w:tblPr>
        <w:tblStyle w:val="ac"/>
        <w:tblW w:w="10207" w:type="dxa"/>
        <w:tblInd w:w="-318" w:type="dxa"/>
        <w:tblLook w:val="04A0"/>
      </w:tblPr>
      <w:tblGrid>
        <w:gridCol w:w="2670"/>
        <w:gridCol w:w="1684"/>
        <w:gridCol w:w="1190"/>
        <w:gridCol w:w="1261"/>
        <w:gridCol w:w="1292"/>
        <w:gridCol w:w="1138"/>
        <w:gridCol w:w="972"/>
      </w:tblGrid>
      <w:tr w:rsidR="00E91D1B" w:rsidRPr="00C16388" w:rsidTr="00F57A09">
        <w:trPr>
          <w:trHeight w:val="320"/>
        </w:trPr>
        <w:tc>
          <w:tcPr>
            <w:tcW w:w="2670" w:type="dxa"/>
            <w:vMerge w:val="restart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Наименование раздела, показателя</w:t>
            </w:r>
          </w:p>
        </w:tc>
        <w:tc>
          <w:tcPr>
            <w:tcW w:w="1684" w:type="dxa"/>
            <w:vMerge w:val="restart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90" w:type="dxa"/>
            <w:vMerge w:val="restart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261" w:type="dxa"/>
            <w:vMerge w:val="restart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Оценка (текущий год)</w:t>
            </w: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3402" w:type="dxa"/>
            <w:gridSpan w:val="3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E91D1B" w:rsidRPr="00C16388" w:rsidTr="00F57A09">
        <w:trPr>
          <w:trHeight w:val="320"/>
        </w:trPr>
        <w:tc>
          <w:tcPr>
            <w:tcW w:w="2670" w:type="dxa"/>
            <w:vMerge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38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972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pStyle w:val="a6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 Демография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(на 1 января года)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.Бюджет муниципального образования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Доходы бюджета муниципального образования, всего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в т.числе: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собственные (налоговые и неналоговые)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- неналоговые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- налоговые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Дефицит/профицит</w:t>
            </w:r>
          </w:p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 (-/+) бюджета муниципального образования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 Промышленное производство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предпринимательства)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Темп роста отгрузки в действующих ценах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(Производство пищевых продуктов)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Темп роста отгрузки  (Производство пищевых продуктов)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 Строительство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Объем работ, выполненных по виду деятельности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«Строительство»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Темп роста производства по виду деятельности «Строительство»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Удельный вес автомобильных дорог общего пользования местного значения с твердым покрытием в общей протяженности автодорог общего пользования местного значения (на конец года)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Удельный вес дорожной сети муниципального значения, соответствующей нормативному транспортно-эксплуатационному состоянию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Доля общей площади муниципальных дорог, на которых произведен капитальный ремонт, к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суммарной общей площади муниципальных дорог, требующих капитального ремонта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общей площади муниципальных дорог, на которых произведен текущий ремонт, к суммарной общей площади муниципальных дорог, требующих текущего ремонта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Доля дорог, на которых проведены работы по благоустройству, к общей площади дорожного покрытия на территории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Количество остановочных пунктов общественного транспорта городского и пригородного транспорта, </w:t>
            </w:r>
          </w:p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из них оборудовано: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знаком, обозначающим остановку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аншлагом (информационной доской, содержащей расписание движения общественного транспорта)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отдельно стоящим павильоном ожидания общественного транспорта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 Потребительский рынок</w:t>
            </w:r>
          </w:p>
        </w:tc>
      </w:tr>
      <w:tr w:rsidR="00E91D1B" w:rsidRPr="00C16388" w:rsidTr="00F57A09">
        <w:trPr>
          <w:trHeight w:val="275"/>
        </w:trPr>
        <w:tc>
          <w:tcPr>
            <w:tcW w:w="2670" w:type="dxa"/>
            <w:vMerge w:val="restart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rPr>
          <w:trHeight w:val="1345"/>
        </w:trPr>
        <w:tc>
          <w:tcPr>
            <w:tcW w:w="2670" w:type="dxa"/>
            <w:vMerge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Количество торговых точек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пунктов общественного питания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пунктов бытового обслуживания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 Малое и среднее предпринимательство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Число индивидуальных предпринимателей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Темп роста объема инвестиций в основной капитал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 Труд и занятость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организаций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>. Развитие социальной сферы</w:t>
            </w: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обучающихся в общеобразовательных учреждениях городского округа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Доля обучающихся в общеобразовательных учреждениях городского округа, занимающихся во вторую (третью) смену  в общей численности обучающихся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1- 6 лет, охваченных различными формами дошкольного образования, в общей численности детей дошкольного возраста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Доля детей, стоящих на учете для определения в учреждения дошкольного образования, в общей численности детей в возрасте 1- 6 лет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Доля детей школьного возраста, охваченных организованными формами досуга, по отношению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br/>
              <w:t>к количеству детей школьного возраста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Обеспеченность больничными койками на 10 тыс. населения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Смертность населения трудоспособного возраста на 100 тыс. населения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случаев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Младенческая смертность на 1 тыс. новорожденных, родившихся живыми 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промилле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Доля населения городского округа  систематически занимающегося физической культурой и спортом, в общей численности населения городского округа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округа спортивными сооружениями исходя </w:t>
            </w: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из единовременной пропускной способности объектов спорта в городском округе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пос.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туристов, посещающих городской округ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10207" w:type="dxa"/>
            <w:gridSpan w:val="7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16388">
              <w:rPr>
                <w:rFonts w:ascii="Times New Roman" w:hAnsi="Times New Roman"/>
                <w:sz w:val="24"/>
                <w:szCs w:val="24"/>
              </w:rPr>
              <w:t xml:space="preserve"> Благоустройство территории</w:t>
            </w: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RPr="00C16388" w:rsidTr="00F57A09">
        <w:tc>
          <w:tcPr>
            <w:tcW w:w="267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684" w:type="dxa"/>
          </w:tcPr>
          <w:p w:rsidR="00E91D1B" w:rsidRPr="00C16388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90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rPr>
          <w:rFonts w:ascii="Times New Roman" w:hAnsi="Times New Roman"/>
          <w:sz w:val="28"/>
          <w:szCs w:val="28"/>
        </w:rPr>
      </w:pPr>
    </w:p>
    <w:p w:rsidR="00E91D1B" w:rsidRDefault="00E91D1B" w:rsidP="00E91D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2</w:t>
      </w:r>
    </w:p>
    <w:p w:rsidR="00E91D1B" w:rsidRDefault="00E91D1B" w:rsidP="00E91D1B">
      <w:pPr>
        <w:spacing w:after="0" w:line="240" w:lineRule="auto"/>
        <w:ind w:left="6372" w:firstLine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разработки, корректировки, осуществления мониторинга и контроля реализации прогнозов социально-экономического развития муниципального образования городской округ город Красный Луч Луганской Народной Республики на долгосрочный и среднесрочный период</w:t>
      </w:r>
    </w:p>
    <w:p w:rsidR="00E91D1B" w:rsidRDefault="00E91D1B" w:rsidP="00E91D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1D1B" w:rsidRPr="00C5669C" w:rsidRDefault="00E91D1B" w:rsidP="00E9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9C">
        <w:rPr>
          <w:rFonts w:ascii="Times New Roman" w:hAnsi="Times New Roman"/>
          <w:b/>
          <w:sz w:val="28"/>
          <w:szCs w:val="28"/>
        </w:rPr>
        <w:t>Перечень</w:t>
      </w:r>
    </w:p>
    <w:p w:rsidR="00E91D1B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  <w:r>
        <w:rPr>
          <w:b/>
          <w:sz w:val="28"/>
          <w:szCs w:val="28"/>
        </w:rPr>
        <w:t>с</w:t>
      </w:r>
      <w:r w:rsidRPr="00C5669C">
        <w:rPr>
          <w:b/>
          <w:sz w:val="28"/>
          <w:szCs w:val="28"/>
        </w:rPr>
        <w:t>труктурных подразделений Администрации городского округа</w:t>
      </w:r>
      <w:r w:rsidRPr="00C5669C">
        <w:rPr>
          <w:b/>
          <w:sz w:val="28"/>
          <w:lang w:eastAsia="en-US"/>
        </w:rPr>
        <w:t xml:space="preserve"> </w:t>
      </w:r>
      <w:r w:rsidRPr="00C16388">
        <w:rPr>
          <w:b/>
          <w:sz w:val="28"/>
          <w:lang w:eastAsia="en-US"/>
        </w:rPr>
        <w:t>муниципально</w:t>
      </w:r>
      <w:r>
        <w:rPr>
          <w:b/>
          <w:sz w:val="28"/>
          <w:lang w:eastAsia="en-US"/>
        </w:rPr>
        <w:t>е</w:t>
      </w:r>
      <w:r w:rsidRPr="00C16388">
        <w:rPr>
          <w:b/>
          <w:sz w:val="28"/>
          <w:lang w:eastAsia="en-US"/>
        </w:rPr>
        <w:t xml:space="preserve"> образовани</w:t>
      </w:r>
      <w:r>
        <w:rPr>
          <w:b/>
          <w:sz w:val="28"/>
          <w:lang w:eastAsia="en-US"/>
        </w:rPr>
        <w:t>е</w:t>
      </w:r>
      <w:r w:rsidRPr="00C16388">
        <w:rPr>
          <w:b/>
          <w:sz w:val="28"/>
          <w:lang w:eastAsia="en-US"/>
        </w:rPr>
        <w:t xml:space="preserve"> городской округ город Красный Луч Луганской Народной Республики</w:t>
      </w:r>
    </w:p>
    <w:p w:rsidR="00E91D1B" w:rsidRPr="00C16388" w:rsidRDefault="00E91D1B" w:rsidP="00E91D1B">
      <w:pPr>
        <w:pStyle w:val="af"/>
        <w:spacing w:after="0"/>
        <w:ind w:right="160"/>
        <w:jc w:val="center"/>
        <w:rPr>
          <w:b/>
          <w:sz w:val="28"/>
          <w:lang w:eastAsia="en-US"/>
        </w:rPr>
      </w:pPr>
    </w:p>
    <w:tbl>
      <w:tblPr>
        <w:tblStyle w:val="ac"/>
        <w:tblW w:w="0" w:type="auto"/>
        <w:tblLook w:val="04A0"/>
      </w:tblPr>
      <w:tblGrid>
        <w:gridCol w:w="3652"/>
        <w:gridCol w:w="5919"/>
      </w:tblGrid>
      <w:tr w:rsidR="00E91D1B" w:rsidTr="00F57A09">
        <w:tc>
          <w:tcPr>
            <w:tcW w:w="3652" w:type="dxa"/>
          </w:tcPr>
          <w:p w:rsidR="00E91D1B" w:rsidRPr="00C5669C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прогноза для разработки бюджета города</w:t>
            </w:r>
          </w:p>
        </w:tc>
        <w:tc>
          <w:tcPr>
            <w:tcW w:w="5919" w:type="dxa"/>
          </w:tcPr>
          <w:p w:rsidR="00E91D1B" w:rsidRPr="00C5669C" w:rsidRDefault="00E91D1B" w:rsidP="00F5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69C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Демография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Дорожная инфраструктура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Default="00E91D1B" w:rsidP="00F57A09">
            <w:pPr>
              <w:rPr>
                <w:rFonts w:ascii="Times New Roman" w:hAnsi="Times New Roman"/>
                <w:sz w:val="28"/>
                <w:szCs w:val="28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Труд и занятость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B40E47"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Развитие социальной сферы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городского округа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 городского округа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молодежи, спорта и религий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молодежи, спорта и религий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 молодежи, спорта и религий Администрации</w:t>
            </w:r>
          </w:p>
        </w:tc>
      </w:tr>
      <w:tr w:rsidR="00E91D1B" w:rsidTr="00F57A09">
        <w:tc>
          <w:tcPr>
            <w:tcW w:w="3652" w:type="dxa"/>
          </w:tcPr>
          <w:p w:rsidR="00E91D1B" w:rsidRPr="00C16388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 w:rsidRPr="00C1638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919" w:type="dxa"/>
          </w:tcPr>
          <w:p w:rsidR="00E91D1B" w:rsidRPr="00B40E47" w:rsidRDefault="00E91D1B" w:rsidP="00F57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</w:tbl>
    <w:p w:rsidR="00E91D1B" w:rsidRPr="00C16388" w:rsidRDefault="00E91D1B" w:rsidP="00E9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6A38" w:rsidRPr="00087965" w:rsidRDefault="00F96A38" w:rsidP="004C627A">
      <w:pPr>
        <w:shd w:val="clear" w:color="auto" w:fill="FFFFFF"/>
        <w:tabs>
          <w:tab w:val="left" w:pos="9498"/>
        </w:tabs>
        <w:spacing w:after="0" w:line="240" w:lineRule="auto"/>
        <w:rPr>
          <w:color w:val="000000" w:themeColor="text1"/>
          <w:szCs w:val="28"/>
        </w:rPr>
      </w:pPr>
    </w:p>
    <w:sectPr w:rsidR="00F96A38" w:rsidRPr="00087965" w:rsidSect="00C5669C">
      <w:headerReference w:type="default" r:id="rId11"/>
      <w:pgSz w:w="11906" w:h="16838"/>
      <w:pgMar w:top="567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EB" w:rsidRDefault="005701EB" w:rsidP="00486D5A">
      <w:pPr>
        <w:spacing w:after="0" w:line="240" w:lineRule="auto"/>
      </w:pPr>
      <w:r>
        <w:separator/>
      </w:r>
    </w:p>
  </w:endnote>
  <w:endnote w:type="continuationSeparator" w:id="1">
    <w:p w:rsidR="005701EB" w:rsidRDefault="005701EB" w:rsidP="0048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EB" w:rsidRDefault="005701EB" w:rsidP="00486D5A">
      <w:pPr>
        <w:spacing w:after="0" w:line="240" w:lineRule="auto"/>
      </w:pPr>
      <w:r>
        <w:separator/>
      </w:r>
    </w:p>
  </w:footnote>
  <w:footnote w:type="continuationSeparator" w:id="1">
    <w:p w:rsidR="005701EB" w:rsidRDefault="005701EB" w:rsidP="0048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422"/>
      <w:docPartObj>
        <w:docPartGallery w:val="Page Numbers (Top of Page)"/>
        <w:docPartUnique/>
      </w:docPartObj>
    </w:sdtPr>
    <w:sdtContent>
      <w:p w:rsidR="00A03EA5" w:rsidRDefault="00A03EA5">
        <w:pPr>
          <w:pStyle w:val="a7"/>
          <w:jc w:val="center"/>
        </w:pPr>
        <w:r w:rsidRPr="00315422">
          <w:rPr>
            <w:rFonts w:ascii="Times New Roman" w:hAnsi="Times New Roman"/>
            <w:sz w:val="28"/>
            <w:szCs w:val="28"/>
          </w:rPr>
          <w:t>2</w:t>
        </w:r>
      </w:p>
    </w:sdtContent>
  </w:sdt>
  <w:p w:rsidR="00A03EA5" w:rsidRDefault="00A03E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FDF" w:rsidRDefault="001E0FDF" w:rsidP="00A03EA5">
    <w:pPr>
      <w:pStyle w:val="a7"/>
      <w:jc w:val="right"/>
      <w:rPr>
        <w:rFonts w:ascii="Times New Roman" w:hAnsi="Times New Roman"/>
      </w:rPr>
    </w:pPr>
  </w:p>
  <w:p w:rsidR="00A03EA5" w:rsidRPr="00F66B18" w:rsidRDefault="00A03EA5" w:rsidP="00A03EA5">
    <w:pPr>
      <w:pStyle w:val="a7"/>
      <w:jc w:val="right"/>
      <w:rPr>
        <w:rFonts w:ascii="Times New Roman" w:hAnsi="Times New Roman"/>
        <w:color w:val="FFFFFF" w:themeColor="background1"/>
      </w:rPr>
    </w:pPr>
    <w:r w:rsidRPr="00F66B18">
      <w:rPr>
        <w:rFonts w:ascii="Times New Roman" w:hAnsi="Times New Roman"/>
        <w:color w:val="FFFFFF" w:themeColor="background1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5B" w:rsidRDefault="005701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1D1B">
      <w:rPr>
        <w:noProof/>
      </w:rPr>
      <w:t>6</w:t>
    </w:r>
    <w:r>
      <w:rPr>
        <w:noProof/>
      </w:rPr>
      <w:fldChar w:fldCharType="end"/>
    </w:r>
  </w:p>
  <w:p w:rsidR="0085215B" w:rsidRDefault="005701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440"/>
    <w:multiLevelType w:val="hybridMultilevel"/>
    <w:tmpl w:val="7C88EA84"/>
    <w:lvl w:ilvl="0" w:tplc="E528D77E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17F6002"/>
    <w:multiLevelType w:val="hybridMultilevel"/>
    <w:tmpl w:val="14A688B0"/>
    <w:lvl w:ilvl="0" w:tplc="56B84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5CAA"/>
    <w:multiLevelType w:val="hybridMultilevel"/>
    <w:tmpl w:val="39F010BC"/>
    <w:lvl w:ilvl="0" w:tplc="24843E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CB7E33"/>
    <w:multiLevelType w:val="hybridMultilevel"/>
    <w:tmpl w:val="4552E3DA"/>
    <w:lvl w:ilvl="0" w:tplc="B37C3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D2726"/>
    <w:multiLevelType w:val="hybridMultilevel"/>
    <w:tmpl w:val="7CC65158"/>
    <w:lvl w:ilvl="0" w:tplc="8C44A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2AA4"/>
    <w:multiLevelType w:val="hybridMultilevel"/>
    <w:tmpl w:val="321A62E0"/>
    <w:lvl w:ilvl="0" w:tplc="22A203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A4056B"/>
    <w:multiLevelType w:val="multilevel"/>
    <w:tmpl w:val="1EE0F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B02207"/>
    <w:multiLevelType w:val="multilevel"/>
    <w:tmpl w:val="6040E7B0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cs="Times New Roman" w:hint="default"/>
        <w:color w:val="000000"/>
      </w:rPr>
    </w:lvl>
  </w:abstractNum>
  <w:abstractNum w:abstractNumId="8">
    <w:nsid w:val="39187D27"/>
    <w:multiLevelType w:val="multilevel"/>
    <w:tmpl w:val="9F589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4349054D"/>
    <w:multiLevelType w:val="hybridMultilevel"/>
    <w:tmpl w:val="0B506474"/>
    <w:lvl w:ilvl="0" w:tplc="5C5C9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5D7DC5"/>
    <w:multiLevelType w:val="hybridMultilevel"/>
    <w:tmpl w:val="C3C6FB70"/>
    <w:lvl w:ilvl="0" w:tplc="C6C28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A73DE"/>
    <w:multiLevelType w:val="hybridMultilevel"/>
    <w:tmpl w:val="84260960"/>
    <w:lvl w:ilvl="0" w:tplc="E2DCC6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58609A5"/>
    <w:multiLevelType w:val="hybridMultilevel"/>
    <w:tmpl w:val="50C612C4"/>
    <w:lvl w:ilvl="0" w:tplc="F2F41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B3C3A"/>
    <w:multiLevelType w:val="hybridMultilevel"/>
    <w:tmpl w:val="2E780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4243B"/>
    <w:rsid w:val="000008F3"/>
    <w:rsid w:val="00006AD1"/>
    <w:rsid w:val="000101B2"/>
    <w:rsid w:val="00011AD6"/>
    <w:rsid w:val="0001595A"/>
    <w:rsid w:val="00015D77"/>
    <w:rsid w:val="00017DC3"/>
    <w:rsid w:val="00033AE3"/>
    <w:rsid w:val="00033C5D"/>
    <w:rsid w:val="000470C7"/>
    <w:rsid w:val="0005039C"/>
    <w:rsid w:val="0005170F"/>
    <w:rsid w:val="0005217A"/>
    <w:rsid w:val="00052548"/>
    <w:rsid w:val="000542D1"/>
    <w:rsid w:val="00055A68"/>
    <w:rsid w:val="00056684"/>
    <w:rsid w:val="00060F20"/>
    <w:rsid w:val="000728EE"/>
    <w:rsid w:val="000804DF"/>
    <w:rsid w:val="0008637B"/>
    <w:rsid w:val="00087965"/>
    <w:rsid w:val="00091B5F"/>
    <w:rsid w:val="00091E9F"/>
    <w:rsid w:val="00097EA4"/>
    <w:rsid w:val="000B2320"/>
    <w:rsid w:val="000B629D"/>
    <w:rsid w:val="000C1348"/>
    <w:rsid w:val="000C62C0"/>
    <w:rsid w:val="000D0635"/>
    <w:rsid w:val="000D1396"/>
    <w:rsid w:val="000D4158"/>
    <w:rsid w:val="000F04C0"/>
    <w:rsid w:val="000F3009"/>
    <w:rsid w:val="000F45DF"/>
    <w:rsid w:val="000F4847"/>
    <w:rsid w:val="001016DF"/>
    <w:rsid w:val="00114BF2"/>
    <w:rsid w:val="0011567A"/>
    <w:rsid w:val="0012076B"/>
    <w:rsid w:val="00125006"/>
    <w:rsid w:val="00132BBF"/>
    <w:rsid w:val="00136E34"/>
    <w:rsid w:val="0014243B"/>
    <w:rsid w:val="00144206"/>
    <w:rsid w:val="001449E4"/>
    <w:rsid w:val="00144CC6"/>
    <w:rsid w:val="001455F0"/>
    <w:rsid w:val="0014567D"/>
    <w:rsid w:val="00151D44"/>
    <w:rsid w:val="00154346"/>
    <w:rsid w:val="00157CA6"/>
    <w:rsid w:val="0016221C"/>
    <w:rsid w:val="00163244"/>
    <w:rsid w:val="00170814"/>
    <w:rsid w:val="001777EB"/>
    <w:rsid w:val="001A121B"/>
    <w:rsid w:val="001A3FE7"/>
    <w:rsid w:val="001A41A6"/>
    <w:rsid w:val="001A5B95"/>
    <w:rsid w:val="001B1731"/>
    <w:rsid w:val="001B1941"/>
    <w:rsid w:val="001B695B"/>
    <w:rsid w:val="001B6DC1"/>
    <w:rsid w:val="001C422A"/>
    <w:rsid w:val="001C5FB8"/>
    <w:rsid w:val="001E0FDF"/>
    <w:rsid w:val="001F46F1"/>
    <w:rsid w:val="001F6E02"/>
    <w:rsid w:val="002005C4"/>
    <w:rsid w:val="00202358"/>
    <w:rsid w:val="00202DB0"/>
    <w:rsid w:val="0020399D"/>
    <w:rsid w:val="00207F48"/>
    <w:rsid w:val="00213100"/>
    <w:rsid w:val="00230E05"/>
    <w:rsid w:val="00237E24"/>
    <w:rsid w:val="00244B27"/>
    <w:rsid w:val="00246696"/>
    <w:rsid w:val="002516B2"/>
    <w:rsid w:val="002528CF"/>
    <w:rsid w:val="002651E0"/>
    <w:rsid w:val="00267B28"/>
    <w:rsid w:val="002739D1"/>
    <w:rsid w:val="0027540C"/>
    <w:rsid w:val="0028644E"/>
    <w:rsid w:val="00286562"/>
    <w:rsid w:val="00287215"/>
    <w:rsid w:val="00295823"/>
    <w:rsid w:val="00295B45"/>
    <w:rsid w:val="0029714D"/>
    <w:rsid w:val="00297AA0"/>
    <w:rsid w:val="002A0F9F"/>
    <w:rsid w:val="002A57CC"/>
    <w:rsid w:val="002B55B4"/>
    <w:rsid w:val="002C0367"/>
    <w:rsid w:val="002C60B8"/>
    <w:rsid w:val="002C6568"/>
    <w:rsid w:val="002C6DF1"/>
    <w:rsid w:val="002C7118"/>
    <w:rsid w:val="002D7262"/>
    <w:rsid w:val="002E1F77"/>
    <w:rsid w:val="002E28FA"/>
    <w:rsid w:val="002E5445"/>
    <w:rsid w:val="002F01C4"/>
    <w:rsid w:val="002F186C"/>
    <w:rsid w:val="002F5154"/>
    <w:rsid w:val="002F66D5"/>
    <w:rsid w:val="002F7B3E"/>
    <w:rsid w:val="002F7F89"/>
    <w:rsid w:val="00301B38"/>
    <w:rsid w:val="00302693"/>
    <w:rsid w:val="003027B9"/>
    <w:rsid w:val="00305010"/>
    <w:rsid w:val="00306925"/>
    <w:rsid w:val="00306B22"/>
    <w:rsid w:val="00307E2C"/>
    <w:rsid w:val="00313A09"/>
    <w:rsid w:val="00314C12"/>
    <w:rsid w:val="00315422"/>
    <w:rsid w:val="00316F09"/>
    <w:rsid w:val="00320736"/>
    <w:rsid w:val="00334574"/>
    <w:rsid w:val="00334A01"/>
    <w:rsid w:val="00337744"/>
    <w:rsid w:val="00344670"/>
    <w:rsid w:val="00354D69"/>
    <w:rsid w:val="00356D78"/>
    <w:rsid w:val="003640EF"/>
    <w:rsid w:val="003666E1"/>
    <w:rsid w:val="003678B6"/>
    <w:rsid w:val="003752AC"/>
    <w:rsid w:val="003825C8"/>
    <w:rsid w:val="00384914"/>
    <w:rsid w:val="0039080C"/>
    <w:rsid w:val="00390D61"/>
    <w:rsid w:val="00392065"/>
    <w:rsid w:val="003A6711"/>
    <w:rsid w:val="003C06AC"/>
    <w:rsid w:val="003D02EC"/>
    <w:rsid w:val="003D159C"/>
    <w:rsid w:val="003D5EB5"/>
    <w:rsid w:val="003D7681"/>
    <w:rsid w:val="003E1B7A"/>
    <w:rsid w:val="003E74C9"/>
    <w:rsid w:val="003E7621"/>
    <w:rsid w:val="003F1179"/>
    <w:rsid w:val="003F1515"/>
    <w:rsid w:val="003F38BC"/>
    <w:rsid w:val="003F4F19"/>
    <w:rsid w:val="003F73C4"/>
    <w:rsid w:val="00412720"/>
    <w:rsid w:val="00415DED"/>
    <w:rsid w:val="004312BB"/>
    <w:rsid w:val="00431AE7"/>
    <w:rsid w:val="00431ECC"/>
    <w:rsid w:val="00440F01"/>
    <w:rsid w:val="00441210"/>
    <w:rsid w:val="004445B4"/>
    <w:rsid w:val="004477C4"/>
    <w:rsid w:val="0044781D"/>
    <w:rsid w:val="00450BEE"/>
    <w:rsid w:val="0045346A"/>
    <w:rsid w:val="00453D02"/>
    <w:rsid w:val="00453DBB"/>
    <w:rsid w:val="00454CE8"/>
    <w:rsid w:val="00462C03"/>
    <w:rsid w:val="00463632"/>
    <w:rsid w:val="00463E4D"/>
    <w:rsid w:val="00464986"/>
    <w:rsid w:val="00465966"/>
    <w:rsid w:val="004753F3"/>
    <w:rsid w:val="0047651A"/>
    <w:rsid w:val="00486D5A"/>
    <w:rsid w:val="0049003C"/>
    <w:rsid w:val="004A4AE2"/>
    <w:rsid w:val="004A78B7"/>
    <w:rsid w:val="004B1424"/>
    <w:rsid w:val="004B2F40"/>
    <w:rsid w:val="004C627A"/>
    <w:rsid w:val="004C7EF0"/>
    <w:rsid w:val="004D2262"/>
    <w:rsid w:val="004E3B92"/>
    <w:rsid w:val="004E3F00"/>
    <w:rsid w:val="004E4DDC"/>
    <w:rsid w:val="004E6858"/>
    <w:rsid w:val="004E7C00"/>
    <w:rsid w:val="004E7DCC"/>
    <w:rsid w:val="004F0423"/>
    <w:rsid w:val="004F12F4"/>
    <w:rsid w:val="004F3186"/>
    <w:rsid w:val="00502E09"/>
    <w:rsid w:val="00502FEF"/>
    <w:rsid w:val="00505F13"/>
    <w:rsid w:val="00506C17"/>
    <w:rsid w:val="00530DA4"/>
    <w:rsid w:val="00531AE8"/>
    <w:rsid w:val="00534B9E"/>
    <w:rsid w:val="00535ED6"/>
    <w:rsid w:val="0055141B"/>
    <w:rsid w:val="00555D9E"/>
    <w:rsid w:val="005630AB"/>
    <w:rsid w:val="005652E7"/>
    <w:rsid w:val="00566AD7"/>
    <w:rsid w:val="005701EB"/>
    <w:rsid w:val="00570339"/>
    <w:rsid w:val="00572D8E"/>
    <w:rsid w:val="00581D6A"/>
    <w:rsid w:val="00582F6B"/>
    <w:rsid w:val="0059295E"/>
    <w:rsid w:val="00593367"/>
    <w:rsid w:val="00593A5B"/>
    <w:rsid w:val="00594155"/>
    <w:rsid w:val="005A424F"/>
    <w:rsid w:val="005B0BD5"/>
    <w:rsid w:val="005B168A"/>
    <w:rsid w:val="005B3F76"/>
    <w:rsid w:val="005B4EEF"/>
    <w:rsid w:val="005B5AEF"/>
    <w:rsid w:val="005B7002"/>
    <w:rsid w:val="005C3504"/>
    <w:rsid w:val="005C449C"/>
    <w:rsid w:val="005D11FF"/>
    <w:rsid w:val="005D35DA"/>
    <w:rsid w:val="005D6A9B"/>
    <w:rsid w:val="005E6E0A"/>
    <w:rsid w:val="005F329D"/>
    <w:rsid w:val="005F6D7E"/>
    <w:rsid w:val="0060473F"/>
    <w:rsid w:val="00606918"/>
    <w:rsid w:val="006079D1"/>
    <w:rsid w:val="00617D62"/>
    <w:rsid w:val="00620BA6"/>
    <w:rsid w:val="00622BE3"/>
    <w:rsid w:val="006240DB"/>
    <w:rsid w:val="006248EA"/>
    <w:rsid w:val="00626032"/>
    <w:rsid w:val="00626240"/>
    <w:rsid w:val="00627B8E"/>
    <w:rsid w:val="00631D97"/>
    <w:rsid w:val="006332CC"/>
    <w:rsid w:val="00636826"/>
    <w:rsid w:val="00645413"/>
    <w:rsid w:val="00650D85"/>
    <w:rsid w:val="006515EC"/>
    <w:rsid w:val="006571CB"/>
    <w:rsid w:val="006574AC"/>
    <w:rsid w:val="0065778D"/>
    <w:rsid w:val="0066195B"/>
    <w:rsid w:val="00661C62"/>
    <w:rsid w:val="006728EA"/>
    <w:rsid w:val="00687175"/>
    <w:rsid w:val="00687930"/>
    <w:rsid w:val="006A6B28"/>
    <w:rsid w:val="006B0DC5"/>
    <w:rsid w:val="006B135B"/>
    <w:rsid w:val="006B689A"/>
    <w:rsid w:val="006C33B1"/>
    <w:rsid w:val="006C447E"/>
    <w:rsid w:val="006C6081"/>
    <w:rsid w:val="006E3B21"/>
    <w:rsid w:val="006E69F9"/>
    <w:rsid w:val="006F3DCB"/>
    <w:rsid w:val="006F4483"/>
    <w:rsid w:val="00701BF1"/>
    <w:rsid w:val="00710344"/>
    <w:rsid w:val="00711128"/>
    <w:rsid w:val="00713F2E"/>
    <w:rsid w:val="007143D7"/>
    <w:rsid w:val="0073190D"/>
    <w:rsid w:val="00741235"/>
    <w:rsid w:val="00741B9D"/>
    <w:rsid w:val="0075104E"/>
    <w:rsid w:val="00755E6A"/>
    <w:rsid w:val="00760287"/>
    <w:rsid w:val="007640CB"/>
    <w:rsid w:val="0077400A"/>
    <w:rsid w:val="00781146"/>
    <w:rsid w:val="0078263B"/>
    <w:rsid w:val="0078270A"/>
    <w:rsid w:val="00784E3B"/>
    <w:rsid w:val="00787DC9"/>
    <w:rsid w:val="00793EF5"/>
    <w:rsid w:val="00794002"/>
    <w:rsid w:val="007A112C"/>
    <w:rsid w:val="007A51D0"/>
    <w:rsid w:val="007A54B3"/>
    <w:rsid w:val="007A67E0"/>
    <w:rsid w:val="007A67E8"/>
    <w:rsid w:val="007A697D"/>
    <w:rsid w:val="007A7C05"/>
    <w:rsid w:val="007B1688"/>
    <w:rsid w:val="007B4A65"/>
    <w:rsid w:val="007C0957"/>
    <w:rsid w:val="007C2DB9"/>
    <w:rsid w:val="007C688F"/>
    <w:rsid w:val="007D142C"/>
    <w:rsid w:val="007D1FE2"/>
    <w:rsid w:val="007D293C"/>
    <w:rsid w:val="007E280F"/>
    <w:rsid w:val="007F0AE7"/>
    <w:rsid w:val="007F32E4"/>
    <w:rsid w:val="007F71CD"/>
    <w:rsid w:val="00800F6D"/>
    <w:rsid w:val="008019F2"/>
    <w:rsid w:val="00803F4F"/>
    <w:rsid w:val="00804166"/>
    <w:rsid w:val="00807B20"/>
    <w:rsid w:val="00810185"/>
    <w:rsid w:val="0081623C"/>
    <w:rsid w:val="00823F30"/>
    <w:rsid w:val="008304E4"/>
    <w:rsid w:val="008361C7"/>
    <w:rsid w:val="008417A5"/>
    <w:rsid w:val="00842B7F"/>
    <w:rsid w:val="00842BAA"/>
    <w:rsid w:val="00852EEB"/>
    <w:rsid w:val="0085399C"/>
    <w:rsid w:val="00854FAA"/>
    <w:rsid w:val="00861362"/>
    <w:rsid w:val="0086243B"/>
    <w:rsid w:val="00862E94"/>
    <w:rsid w:val="008723E4"/>
    <w:rsid w:val="0087550A"/>
    <w:rsid w:val="00877F88"/>
    <w:rsid w:val="008855DD"/>
    <w:rsid w:val="008A0A32"/>
    <w:rsid w:val="008B48FE"/>
    <w:rsid w:val="008C4D1C"/>
    <w:rsid w:val="008D5861"/>
    <w:rsid w:val="008E0AF3"/>
    <w:rsid w:val="008E30DD"/>
    <w:rsid w:val="008F06CD"/>
    <w:rsid w:val="008F0E74"/>
    <w:rsid w:val="008F4A4D"/>
    <w:rsid w:val="00904AFF"/>
    <w:rsid w:val="00907879"/>
    <w:rsid w:val="0091050C"/>
    <w:rsid w:val="00911ABB"/>
    <w:rsid w:val="00917B0E"/>
    <w:rsid w:val="0092458F"/>
    <w:rsid w:val="009253E1"/>
    <w:rsid w:val="00931B91"/>
    <w:rsid w:val="00933973"/>
    <w:rsid w:val="009360A1"/>
    <w:rsid w:val="009406FE"/>
    <w:rsid w:val="009442DF"/>
    <w:rsid w:val="00952F9F"/>
    <w:rsid w:val="00955F0F"/>
    <w:rsid w:val="00961597"/>
    <w:rsid w:val="0096320D"/>
    <w:rsid w:val="00964B7D"/>
    <w:rsid w:val="0097009C"/>
    <w:rsid w:val="00972C1C"/>
    <w:rsid w:val="00973B83"/>
    <w:rsid w:val="009772B3"/>
    <w:rsid w:val="009831ED"/>
    <w:rsid w:val="009A63C2"/>
    <w:rsid w:val="009A7A94"/>
    <w:rsid w:val="009B1605"/>
    <w:rsid w:val="009B6EFE"/>
    <w:rsid w:val="009B7229"/>
    <w:rsid w:val="009C54B6"/>
    <w:rsid w:val="009D14BC"/>
    <w:rsid w:val="009D5A3F"/>
    <w:rsid w:val="009E0EFA"/>
    <w:rsid w:val="009E1C28"/>
    <w:rsid w:val="009E5907"/>
    <w:rsid w:val="009E7AB6"/>
    <w:rsid w:val="009F5CEB"/>
    <w:rsid w:val="00A0007D"/>
    <w:rsid w:val="00A03EA5"/>
    <w:rsid w:val="00A04023"/>
    <w:rsid w:val="00A04A58"/>
    <w:rsid w:val="00A04C6A"/>
    <w:rsid w:val="00A108A4"/>
    <w:rsid w:val="00A12E13"/>
    <w:rsid w:val="00A1322F"/>
    <w:rsid w:val="00A1423D"/>
    <w:rsid w:val="00A14949"/>
    <w:rsid w:val="00A14FEA"/>
    <w:rsid w:val="00A17521"/>
    <w:rsid w:val="00A17FD5"/>
    <w:rsid w:val="00A25391"/>
    <w:rsid w:val="00A27FA1"/>
    <w:rsid w:val="00A36423"/>
    <w:rsid w:val="00A42E53"/>
    <w:rsid w:val="00A42F07"/>
    <w:rsid w:val="00A50307"/>
    <w:rsid w:val="00A504F4"/>
    <w:rsid w:val="00A52D6D"/>
    <w:rsid w:val="00A55707"/>
    <w:rsid w:val="00A660E7"/>
    <w:rsid w:val="00A66994"/>
    <w:rsid w:val="00A7361F"/>
    <w:rsid w:val="00A83F2C"/>
    <w:rsid w:val="00A8401A"/>
    <w:rsid w:val="00A93F2F"/>
    <w:rsid w:val="00A966F8"/>
    <w:rsid w:val="00A96BE4"/>
    <w:rsid w:val="00AA35C8"/>
    <w:rsid w:val="00AA454F"/>
    <w:rsid w:val="00AA5F08"/>
    <w:rsid w:val="00AA7CCF"/>
    <w:rsid w:val="00AB169C"/>
    <w:rsid w:val="00AB76D6"/>
    <w:rsid w:val="00AC1854"/>
    <w:rsid w:val="00AD14FB"/>
    <w:rsid w:val="00AD44D2"/>
    <w:rsid w:val="00AE3E8E"/>
    <w:rsid w:val="00AE4BF1"/>
    <w:rsid w:val="00AE4BF7"/>
    <w:rsid w:val="00AE4CB9"/>
    <w:rsid w:val="00AE4CBD"/>
    <w:rsid w:val="00AF6482"/>
    <w:rsid w:val="00B05AC7"/>
    <w:rsid w:val="00B07BF7"/>
    <w:rsid w:val="00B116D1"/>
    <w:rsid w:val="00B129FF"/>
    <w:rsid w:val="00B13247"/>
    <w:rsid w:val="00B17211"/>
    <w:rsid w:val="00B20815"/>
    <w:rsid w:val="00B25424"/>
    <w:rsid w:val="00B32F89"/>
    <w:rsid w:val="00B34537"/>
    <w:rsid w:val="00B350E8"/>
    <w:rsid w:val="00B353B5"/>
    <w:rsid w:val="00B46FFE"/>
    <w:rsid w:val="00B5177E"/>
    <w:rsid w:val="00B60A26"/>
    <w:rsid w:val="00B60C8D"/>
    <w:rsid w:val="00B72185"/>
    <w:rsid w:val="00B7516E"/>
    <w:rsid w:val="00B8064E"/>
    <w:rsid w:val="00B91C18"/>
    <w:rsid w:val="00B95AC6"/>
    <w:rsid w:val="00B969CC"/>
    <w:rsid w:val="00BA0126"/>
    <w:rsid w:val="00BA1938"/>
    <w:rsid w:val="00BB39BE"/>
    <w:rsid w:val="00BB5590"/>
    <w:rsid w:val="00BB6B00"/>
    <w:rsid w:val="00BB77E2"/>
    <w:rsid w:val="00BB7DC2"/>
    <w:rsid w:val="00BC1D49"/>
    <w:rsid w:val="00BC389D"/>
    <w:rsid w:val="00BD16DC"/>
    <w:rsid w:val="00BD5B38"/>
    <w:rsid w:val="00BD6B06"/>
    <w:rsid w:val="00BD71C2"/>
    <w:rsid w:val="00BE5F0C"/>
    <w:rsid w:val="00BF0071"/>
    <w:rsid w:val="00BF05DA"/>
    <w:rsid w:val="00BF06C3"/>
    <w:rsid w:val="00BF4B79"/>
    <w:rsid w:val="00BF4C57"/>
    <w:rsid w:val="00BF701A"/>
    <w:rsid w:val="00C051EC"/>
    <w:rsid w:val="00C12956"/>
    <w:rsid w:val="00C12FF2"/>
    <w:rsid w:val="00C17965"/>
    <w:rsid w:val="00C20E3E"/>
    <w:rsid w:val="00C22720"/>
    <w:rsid w:val="00C27773"/>
    <w:rsid w:val="00C479F1"/>
    <w:rsid w:val="00C52256"/>
    <w:rsid w:val="00C57ADD"/>
    <w:rsid w:val="00C60BA9"/>
    <w:rsid w:val="00C64023"/>
    <w:rsid w:val="00C67506"/>
    <w:rsid w:val="00C7015C"/>
    <w:rsid w:val="00C7209D"/>
    <w:rsid w:val="00C74FF8"/>
    <w:rsid w:val="00C77401"/>
    <w:rsid w:val="00C7752E"/>
    <w:rsid w:val="00C804E8"/>
    <w:rsid w:val="00C83409"/>
    <w:rsid w:val="00C9043B"/>
    <w:rsid w:val="00C911D0"/>
    <w:rsid w:val="00C92DE9"/>
    <w:rsid w:val="00CA1056"/>
    <w:rsid w:val="00CA13F3"/>
    <w:rsid w:val="00CA2990"/>
    <w:rsid w:val="00CB1187"/>
    <w:rsid w:val="00CC1230"/>
    <w:rsid w:val="00CC177A"/>
    <w:rsid w:val="00CC1E27"/>
    <w:rsid w:val="00CE4F39"/>
    <w:rsid w:val="00CF10B8"/>
    <w:rsid w:val="00CF5B7C"/>
    <w:rsid w:val="00CF7C60"/>
    <w:rsid w:val="00D011A6"/>
    <w:rsid w:val="00D0463E"/>
    <w:rsid w:val="00D04BE9"/>
    <w:rsid w:val="00D11668"/>
    <w:rsid w:val="00D14909"/>
    <w:rsid w:val="00D223BF"/>
    <w:rsid w:val="00D24DF7"/>
    <w:rsid w:val="00D275F8"/>
    <w:rsid w:val="00D33949"/>
    <w:rsid w:val="00D33DE1"/>
    <w:rsid w:val="00D374BA"/>
    <w:rsid w:val="00D37734"/>
    <w:rsid w:val="00D5080E"/>
    <w:rsid w:val="00D50FF1"/>
    <w:rsid w:val="00D525BF"/>
    <w:rsid w:val="00D5312D"/>
    <w:rsid w:val="00D5470D"/>
    <w:rsid w:val="00D55039"/>
    <w:rsid w:val="00D558C0"/>
    <w:rsid w:val="00D57B19"/>
    <w:rsid w:val="00D600C9"/>
    <w:rsid w:val="00D61CDB"/>
    <w:rsid w:val="00D6555D"/>
    <w:rsid w:val="00D67C54"/>
    <w:rsid w:val="00D701D4"/>
    <w:rsid w:val="00D82800"/>
    <w:rsid w:val="00D93980"/>
    <w:rsid w:val="00D93F1C"/>
    <w:rsid w:val="00DA262F"/>
    <w:rsid w:val="00DB150C"/>
    <w:rsid w:val="00DB67C5"/>
    <w:rsid w:val="00DB6E74"/>
    <w:rsid w:val="00DC5D38"/>
    <w:rsid w:val="00DD6668"/>
    <w:rsid w:val="00DE1F38"/>
    <w:rsid w:val="00DE319B"/>
    <w:rsid w:val="00DE665E"/>
    <w:rsid w:val="00DF0002"/>
    <w:rsid w:val="00DF1823"/>
    <w:rsid w:val="00DF23A4"/>
    <w:rsid w:val="00DF4430"/>
    <w:rsid w:val="00DF505A"/>
    <w:rsid w:val="00E119E3"/>
    <w:rsid w:val="00E21E5A"/>
    <w:rsid w:val="00E230A1"/>
    <w:rsid w:val="00E32440"/>
    <w:rsid w:val="00E32BEF"/>
    <w:rsid w:val="00E33568"/>
    <w:rsid w:val="00E35265"/>
    <w:rsid w:val="00E46DF1"/>
    <w:rsid w:val="00E46EDC"/>
    <w:rsid w:val="00E516C8"/>
    <w:rsid w:val="00E527E5"/>
    <w:rsid w:val="00E55219"/>
    <w:rsid w:val="00E6161A"/>
    <w:rsid w:val="00E65771"/>
    <w:rsid w:val="00E839B1"/>
    <w:rsid w:val="00E87547"/>
    <w:rsid w:val="00E91D1B"/>
    <w:rsid w:val="00E93B75"/>
    <w:rsid w:val="00E95ABE"/>
    <w:rsid w:val="00EA0457"/>
    <w:rsid w:val="00EA0999"/>
    <w:rsid w:val="00EA356A"/>
    <w:rsid w:val="00EA437A"/>
    <w:rsid w:val="00EB3AC7"/>
    <w:rsid w:val="00EB48AE"/>
    <w:rsid w:val="00EB4CE7"/>
    <w:rsid w:val="00EC129B"/>
    <w:rsid w:val="00EC1FD5"/>
    <w:rsid w:val="00EC5C41"/>
    <w:rsid w:val="00EC7B79"/>
    <w:rsid w:val="00ED06B2"/>
    <w:rsid w:val="00ED5082"/>
    <w:rsid w:val="00EE34F0"/>
    <w:rsid w:val="00EF2598"/>
    <w:rsid w:val="00EF7169"/>
    <w:rsid w:val="00F0079B"/>
    <w:rsid w:val="00F108CB"/>
    <w:rsid w:val="00F117E2"/>
    <w:rsid w:val="00F13C87"/>
    <w:rsid w:val="00F204A9"/>
    <w:rsid w:val="00F27EAF"/>
    <w:rsid w:val="00F37E82"/>
    <w:rsid w:val="00F37EE4"/>
    <w:rsid w:val="00F5498F"/>
    <w:rsid w:val="00F55753"/>
    <w:rsid w:val="00F56806"/>
    <w:rsid w:val="00F6309F"/>
    <w:rsid w:val="00F66B18"/>
    <w:rsid w:val="00F72241"/>
    <w:rsid w:val="00F828D8"/>
    <w:rsid w:val="00F8455D"/>
    <w:rsid w:val="00F96A38"/>
    <w:rsid w:val="00FA2FCB"/>
    <w:rsid w:val="00FB009A"/>
    <w:rsid w:val="00FB1D20"/>
    <w:rsid w:val="00FB7FC3"/>
    <w:rsid w:val="00FC0ABA"/>
    <w:rsid w:val="00FC4214"/>
    <w:rsid w:val="00FD0482"/>
    <w:rsid w:val="00FD2788"/>
    <w:rsid w:val="00FD4680"/>
    <w:rsid w:val="00FE18ED"/>
    <w:rsid w:val="00FE244E"/>
    <w:rsid w:val="00FF2C4E"/>
    <w:rsid w:val="00FF41AF"/>
    <w:rsid w:val="00FF42B5"/>
    <w:rsid w:val="00FF7309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D5EB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5EB5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4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43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locked/>
    <w:rsid w:val="00DF0002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F0002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DF00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5">
    <w:name w:val="Базовый"/>
    <w:uiPriority w:val="99"/>
    <w:rsid w:val="00DF0002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lang w:eastAsia="en-US"/>
    </w:rPr>
  </w:style>
  <w:style w:type="paragraph" w:styleId="a6">
    <w:name w:val="List Paragraph"/>
    <w:basedOn w:val="a"/>
    <w:uiPriority w:val="34"/>
    <w:qFormat/>
    <w:rsid w:val="00DE665E"/>
    <w:pPr>
      <w:ind w:left="720"/>
      <w:contextualSpacing/>
    </w:pPr>
  </w:style>
  <w:style w:type="paragraph" w:styleId="a7">
    <w:name w:val="header"/>
    <w:basedOn w:val="a"/>
    <w:link w:val="a8"/>
    <w:uiPriority w:val="99"/>
    <w:rsid w:val="004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86D5A"/>
    <w:rPr>
      <w:rFonts w:cs="Times New Roman"/>
    </w:rPr>
  </w:style>
  <w:style w:type="paragraph" w:styleId="a9">
    <w:name w:val="footer"/>
    <w:basedOn w:val="a"/>
    <w:link w:val="aa"/>
    <w:uiPriority w:val="99"/>
    <w:rsid w:val="004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86D5A"/>
    <w:rPr>
      <w:rFonts w:cs="Times New Roman"/>
    </w:rPr>
  </w:style>
  <w:style w:type="character" w:styleId="ab">
    <w:name w:val="Hyperlink"/>
    <w:basedOn w:val="a0"/>
    <w:uiPriority w:val="99"/>
    <w:semiHidden/>
    <w:rsid w:val="00A0007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A0007D"/>
    <w:pPr>
      <w:spacing w:after="120" w:line="480" w:lineRule="auto"/>
      <w:ind w:left="283"/>
    </w:pPr>
    <w:rPr>
      <w:rFonts w:ascii="Courier New" w:hAnsi="Courier New"/>
      <w:b/>
      <w:color w:val="00000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007D"/>
    <w:rPr>
      <w:rFonts w:ascii="Courier New" w:hAnsi="Courier New" w:cs="Times New Roman"/>
      <w:b/>
      <w:color w:val="000000"/>
      <w:sz w:val="26"/>
      <w:lang w:val="ru-RU" w:eastAsia="ru-RU" w:bidi="ar-SA"/>
    </w:rPr>
  </w:style>
  <w:style w:type="table" w:styleId="ac">
    <w:name w:val="Table Grid"/>
    <w:basedOn w:val="a1"/>
    <w:uiPriority w:val="59"/>
    <w:locked/>
    <w:rsid w:val="00F117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F7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нак Знак3 Знак Знак Знак Знак Знак Знак Знак Знак"/>
    <w:basedOn w:val="a"/>
    <w:rsid w:val="0076028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AB76D6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f">
    <w:name w:val="Body Text"/>
    <w:basedOn w:val="a"/>
    <w:link w:val="af0"/>
    <w:unhideWhenUsed/>
    <w:rsid w:val="00AB76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B76D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B7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1">
    <w:name w:val="Гипертекстовая ссылка"/>
    <w:rsid w:val="00AB76D6"/>
    <w:rPr>
      <w:rFonts w:ascii="Times New Roman" w:hAnsi="Times New Roman" w:cs="Times New Roman" w:hint="default"/>
      <w:color w:val="008000"/>
    </w:rPr>
  </w:style>
  <w:style w:type="paragraph" w:customStyle="1" w:styleId="ConsNormal">
    <w:name w:val="ConsNormal"/>
    <w:rsid w:val="00AB76D6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EC129B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35C8"/>
    <w:pPr>
      <w:widowControl w:val="0"/>
      <w:autoSpaceDE w:val="0"/>
      <w:autoSpaceDN w:val="0"/>
    </w:pPr>
    <w:rPr>
      <w:rFonts w:eastAsiaTheme="minorEastAsia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D5EB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5EB5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4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243B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locked/>
    <w:rsid w:val="00DF0002"/>
    <w:rPr>
      <w:rFonts w:ascii="Times New Roman" w:hAnsi="Times New Roman"/>
      <w:b/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F0002"/>
    <w:pPr>
      <w:widowControl w:val="0"/>
      <w:shd w:val="clear" w:color="auto" w:fill="FFFFFF"/>
      <w:spacing w:before="660" w:after="660" w:line="317" w:lineRule="exact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DF00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5">
    <w:name w:val="Базовый"/>
    <w:uiPriority w:val="99"/>
    <w:rsid w:val="00DF0002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  <w:sz w:val="28"/>
      <w:lang w:eastAsia="en-US"/>
    </w:rPr>
  </w:style>
  <w:style w:type="paragraph" w:styleId="a6">
    <w:name w:val="List Paragraph"/>
    <w:basedOn w:val="a"/>
    <w:uiPriority w:val="34"/>
    <w:qFormat/>
    <w:rsid w:val="00DE665E"/>
    <w:pPr>
      <w:ind w:left="720"/>
      <w:contextualSpacing/>
    </w:pPr>
  </w:style>
  <w:style w:type="paragraph" w:styleId="a7">
    <w:name w:val="header"/>
    <w:basedOn w:val="a"/>
    <w:link w:val="a8"/>
    <w:uiPriority w:val="99"/>
    <w:rsid w:val="004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86D5A"/>
    <w:rPr>
      <w:rFonts w:cs="Times New Roman"/>
    </w:rPr>
  </w:style>
  <w:style w:type="paragraph" w:styleId="a9">
    <w:name w:val="footer"/>
    <w:basedOn w:val="a"/>
    <w:link w:val="aa"/>
    <w:uiPriority w:val="99"/>
    <w:rsid w:val="004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86D5A"/>
    <w:rPr>
      <w:rFonts w:cs="Times New Roman"/>
    </w:rPr>
  </w:style>
  <w:style w:type="character" w:styleId="ab">
    <w:name w:val="Hyperlink"/>
    <w:basedOn w:val="a0"/>
    <w:uiPriority w:val="99"/>
    <w:semiHidden/>
    <w:rsid w:val="00A0007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A0007D"/>
    <w:pPr>
      <w:spacing w:after="120" w:line="480" w:lineRule="auto"/>
      <w:ind w:left="283"/>
    </w:pPr>
    <w:rPr>
      <w:rFonts w:ascii="Courier New" w:hAnsi="Courier New"/>
      <w:b/>
      <w:color w:val="000000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007D"/>
    <w:rPr>
      <w:rFonts w:ascii="Courier New" w:hAnsi="Courier New" w:cs="Times New Roman"/>
      <w:b/>
      <w:color w:val="000000"/>
      <w:sz w:val="26"/>
      <w:lang w:val="ru-RU" w:eastAsia="ru-RU" w:bidi="ar-SA"/>
    </w:rPr>
  </w:style>
  <w:style w:type="table" w:styleId="ac">
    <w:name w:val="Table Grid"/>
    <w:basedOn w:val="a1"/>
    <w:uiPriority w:val="99"/>
    <w:locked/>
    <w:rsid w:val="00F117E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BF7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Знак Знак3 Знак Знак Знак Знак Знак Знак Знак Знак"/>
    <w:basedOn w:val="a"/>
    <w:rsid w:val="0076028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AB76D6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styleId="af">
    <w:name w:val="Body Text"/>
    <w:basedOn w:val="a"/>
    <w:link w:val="af0"/>
    <w:unhideWhenUsed/>
    <w:rsid w:val="00AB76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B76D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B7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1">
    <w:name w:val="Гипертекстовая ссылка"/>
    <w:rsid w:val="00AB76D6"/>
    <w:rPr>
      <w:rFonts w:ascii="Times New Roman" w:hAnsi="Times New Roman" w:cs="Times New Roman" w:hint="default"/>
      <w:color w:val="008000"/>
    </w:rPr>
  </w:style>
  <w:style w:type="paragraph" w:customStyle="1" w:styleId="ConsNormal">
    <w:name w:val="ConsNormal"/>
    <w:rsid w:val="00AB76D6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EC129B"/>
    <w:pPr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17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jkh</cp:lastModifiedBy>
  <cp:revision>14</cp:revision>
  <cp:lastPrinted>2024-09-18T14:11:00Z</cp:lastPrinted>
  <dcterms:created xsi:type="dcterms:W3CDTF">2024-08-23T10:45:00Z</dcterms:created>
  <dcterms:modified xsi:type="dcterms:W3CDTF">2024-09-23T09:38:00Z</dcterms:modified>
</cp:coreProperties>
</file>